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16FF2B">
      <w:pPr>
        <w:pStyle w:val="3"/>
        <w:tabs>
          <w:tab w:val="left" w:pos="0"/>
        </w:tabs>
        <w:ind w:right="960"/>
        <w:rPr>
          <w:rFonts w:ascii="黑体" w:eastAsia="黑体"/>
          <w:sz w:val="48"/>
        </w:rPr>
      </w:pPr>
    </w:p>
    <w:p w14:paraId="772E292B">
      <w:pPr>
        <w:spacing w:line="700" w:lineRule="exact"/>
      </w:pPr>
      <w:r>
        <w:pict>
          <v:shape id="Text Box 2" o:spid="_x0000_s1026" o:spt="202" type="#_x0000_t202" style="position:absolute;left:0pt;margin-left:-9pt;margin-top:2.2pt;height:678.35pt;width:461.65pt;z-index:251659264;mso-width-relative:page;mso-height-relative:page;" coordsize="21600,21600" o:gfxdata="UEsDBAoAAAAAAIdO4kAAAAAAAAAAAAAAAAAEAAAAZHJzL1BLAwQUAAAACACHTuJAVUzxJdkAAAAL&#10;AQAADwAAAGRycy9kb3ducmV2LnhtbE2PwU7DMBBE70j8g7VIXFBrm0CahDg9IIHgBgXRqxtvk4jY&#10;Drablr9nOcFxZ0azb+r1yY5sxhAH7xTIpQCGrvVmcJ2C97eHRQEsJu2MHr1DBd8YYd2cn9W6Mv7o&#10;XnHepI5RiYuVVtCnNFWcx7ZHq+PST+jI2/tgdaIzdNwEfaRyO/JrIXJu9eDoQ68nvO+x/dwcrILi&#10;5mnexufs5aPN92OZrlbz41dQ6vJCijtgCU/pLwy/+IQODTHt/MGZyEYFC1nQlkSGLIFRoBS3GbAd&#10;CVkuJfCm5v83ND9QSwMEFAAAAAgAh07iQDH6YLfjAQAA6AMAAA4AAABkcnMvZTJvRG9jLnhtbK1T&#10;TY/TMBC9I/EfLN9pshEt3ajpSlDKBQHSLj9gajuJJX/J423Sf8/YLd1d4IAQOTjj8fObmTfjzd1s&#10;DTuqiNq7jt8sas6UE15qN3T8+8P+zZozTOAkGO9Ux08K+d329avNFFrV+NEbqSIjEoftFDo+phTa&#10;qkIxKgu48EE5Oux9tJBoG4dKRpiI3ZqqqetVNfkoQ/RCIZJ3dz7k28Lf90qkr32PKjHTccotlTWW&#10;9ZDXaruBdogQRi0uacA/ZGFBOwp6pdpBAvYY9W9UVovo0fdpIbytfN9roUoNVM1N/Us19yMEVWoh&#10;cTBcZcL/Ryu+HL9FpiX1jjMHllr0oObE3vuZNVmdKWBLoPtAsDSTOyMvfiRnLnruo81/KofROel8&#10;umqbyQQ5l+tVc7tccibobL1cvXvbFPWrp+shYvqkvGXZ6Hik5hVN4fgZE4Uk6E9IjobeaLnXxpRN&#10;HA4fTGRHoEbvy5ezpCsvYMaxqeO3yyYnAjRvvYFEpg2kALqhxHtxA58T1+X7E3FObAc4nhMoDBkG&#10;rdVJxWKNCuRHJ1k6BVLZ0XPgORmrJGdG0evJVkEm0OZvkFSdcVRk7tG5F9lK82EmmmwevDxR3x5D&#10;1MNIkpbOFTiNU1HnMvp5Xp/vC+nTA93+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VM8SXZAAAA&#10;CwEAAA8AAAAAAAAAAQAgAAAAIgAAAGRycy9kb3ducmV2LnhtbFBLAQIUABQAAAAIAIdO4kAx+mC3&#10;4wEAAOgDAAAOAAAAAAAAAAEAIAAAACgBAABkcnMvZTJvRG9jLnhtbFBLBQYAAAAABgAGAFkBAAB9&#10;BQAAAAA=&#10;">
            <v:path/>
            <v:fill focussize="0,0"/>
            <v:stroke joinstyle="miter"/>
            <v:imagedata o:title=""/>
            <o:lock v:ext="edit"/>
            <v:textbox>
              <w:txbxContent>
                <w:p w14:paraId="52FFA370">
                  <w:pPr>
                    <w:jc w:val="center"/>
                    <w:rPr>
                      <w:rFonts w:hint="eastAsia" w:ascii="宋体" w:hAnsi="宋体"/>
                      <w:b/>
                      <w:sz w:val="72"/>
                      <w:szCs w:val="72"/>
                    </w:rPr>
                  </w:pPr>
                </w:p>
                <w:p w14:paraId="5DCABE6E">
                  <w:pPr>
                    <w:jc w:val="center"/>
                    <w:rPr>
                      <w:rFonts w:ascii="宋体" w:hAnsi="宋体"/>
                      <w:b/>
                      <w:sz w:val="72"/>
                      <w:szCs w:val="72"/>
                    </w:rPr>
                  </w:pPr>
                  <w:r>
                    <w:rPr>
                      <w:rFonts w:hint="eastAsia" w:ascii="宋体" w:hAnsi="宋体"/>
                      <w:b/>
                      <w:sz w:val="72"/>
                      <w:szCs w:val="72"/>
                    </w:rPr>
                    <w:t>工程造价咨询报告书</w:t>
                  </w:r>
                </w:p>
                <w:p w14:paraId="077B0932"/>
                <w:p w14:paraId="42B3C394"/>
                <w:p w14:paraId="7D330F71"/>
                <w:p w14:paraId="22436AB5">
                  <w:pPr>
                    <w:spacing w:line="240" w:lineRule="auto"/>
                    <w:ind w:left="4799" w:leftChars="152" w:hanging="4480" w:hangingChars="1400"/>
                    <w:rPr>
                      <w:rFonts w:hint="default" w:ascii="宋体" w:hAnsi="宋体"/>
                      <w:sz w:val="32"/>
                      <w:szCs w:val="32"/>
                      <w:lang w:val="en-US" w:eastAsia="zh-CN"/>
                    </w:rPr>
                  </w:pPr>
                  <w:r>
                    <w:rPr>
                      <w:rFonts w:hint="eastAsia" w:ascii="宋体" w:hAnsi="宋体"/>
                      <w:sz w:val="32"/>
                      <w:szCs w:val="32"/>
                    </w:rPr>
                    <w:t>咨询项目全称：</w:t>
                  </w:r>
                  <w:r>
                    <w:rPr>
                      <w:rFonts w:hint="eastAsia" w:ascii="宋体" w:hAnsi="宋体"/>
                      <w:sz w:val="32"/>
                      <w:szCs w:val="32"/>
                      <w:u w:val="single"/>
                      <w:lang w:val="en-US" w:eastAsia="zh-CN"/>
                    </w:rPr>
                    <w:t xml:space="preserve">     武林幼儿园维修改造工程            </w:t>
                  </w:r>
                  <w:r>
                    <w:rPr>
                      <w:rFonts w:hint="eastAsia" w:ascii="宋体" w:hAnsi="宋体"/>
                      <w:sz w:val="32"/>
                      <w:szCs w:val="32"/>
                      <w:lang w:val="en-US" w:eastAsia="zh-CN"/>
                    </w:rPr>
                    <w:t xml:space="preserve">     </w:t>
                  </w:r>
                </w:p>
                <w:p w14:paraId="011523B6">
                  <w:pPr>
                    <w:spacing w:line="240" w:lineRule="auto"/>
                    <w:ind w:firstLine="320" w:firstLineChars="100"/>
                    <w:rPr>
                      <w:rFonts w:ascii="宋体" w:hAnsi="宋体"/>
                      <w:sz w:val="30"/>
                      <w:szCs w:val="30"/>
                      <w:u w:val="single"/>
                    </w:rPr>
                  </w:pPr>
                  <w:r>
                    <w:rPr>
                      <w:rFonts w:hint="eastAsia" w:ascii="宋体" w:hAnsi="宋体"/>
                      <w:sz w:val="32"/>
                      <w:szCs w:val="32"/>
                    </w:rPr>
                    <w:t>咨询业务类别：</w:t>
                  </w:r>
                  <w:r>
                    <w:rPr>
                      <w:rFonts w:hint="eastAsia" w:ascii="宋体" w:hAnsi="宋体"/>
                      <w:sz w:val="32"/>
                      <w:szCs w:val="32"/>
                      <w:u w:val="single"/>
                    </w:rPr>
                    <w:t xml:space="preserve">        </w:t>
                  </w:r>
                  <w:r>
                    <w:rPr>
                      <w:rFonts w:hint="eastAsia" w:ascii="宋体" w:hAnsi="宋体"/>
                      <w:sz w:val="32"/>
                      <w:szCs w:val="32"/>
                      <w:u w:val="single"/>
                      <w:lang w:val="en-US" w:eastAsia="zh-CN"/>
                    </w:rPr>
                    <w:t xml:space="preserve"> </w:t>
                  </w:r>
                  <w:r>
                    <w:rPr>
                      <w:rFonts w:hint="eastAsia" w:ascii="宋体" w:hAnsi="宋体"/>
                      <w:sz w:val="32"/>
                      <w:szCs w:val="32"/>
                      <w:u w:val="single"/>
                    </w:rPr>
                    <w:t xml:space="preserve"> </w:t>
                  </w:r>
                  <w:r>
                    <w:rPr>
                      <w:rFonts w:hint="eastAsia" w:ascii="宋体" w:hAnsi="宋体"/>
                      <w:sz w:val="32"/>
                      <w:szCs w:val="32"/>
                      <w:u w:val="single"/>
                      <w:lang w:val="en-US" w:eastAsia="zh-CN"/>
                    </w:rPr>
                    <w:t>工程量清单编制</w:t>
                  </w:r>
                  <w:r>
                    <w:rPr>
                      <w:rFonts w:hint="eastAsia" w:ascii="宋体" w:hAnsi="宋体"/>
                      <w:sz w:val="30"/>
                      <w:szCs w:val="30"/>
                      <w:u w:val="single"/>
                    </w:rPr>
                    <w:t xml:space="preserve">         </w:t>
                  </w:r>
                  <w:r>
                    <w:rPr>
                      <w:rFonts w:hint="eastAsia" w:ascii="宋体" w:hAnsi="宋体"/>
                      <w:sz w:val="30"/>
                      <w:szCs w:val="30"/>
                      <w:u w:val="single"/>
                      <w:lang w:val="en-US" w:eastAsia="zh-CN"/>
                    </w:rPr>
                    <w:t xml:space="preserve">   </w:t>
                  </w:r>
                  <w:r>
                    <w:rPr>
                      <w:rFonts w:hint="eastAsia" w:ascii="宋体" w:hAnsi="宋体"/>
                      <w:sz w:val="30"/>
                      <w:szCs w:val="30"/>
                      <w:u w:val="single"/>
                    </w:rPr>
                    <w:t xml:space="preserve">   </w:t>
                  </w:r>
                </w:p>
                <w:p w14:paraId="0D7EA9F0">
                  <w:pPr>
                    <w:spacing w:line="240" w:lineRule="auto"/>
                    <w:ind w:firstLine="320" w:firstLineChars="100"/>
                    <w:rPr>
                      <w:rFonts w:ascii="宋体" w:hAnsi="宋体"/>
                      <w:sz w:val="30"/>
                      <w:szCs w:val="30"/>
                      <w:u w:val="single"/>
                    </w:rPr>
                  </w:pPr>
                  <w:r>
                    <w:rPr>
                      <w:rFonts w:hint="eastAsia" w:ascii="宋体" w:hAnsi="宋体"/>
                      <w:sz w:val="32"/>
                      <w:szCs w:val="32"/>
                    </w:rPr>
                    <w:t>咨询报告日期：</w:t>
                  </w:r>
                  <w:r>
                    <w:rPr>
                      <w:rFonts w:hint="eastAsia" w:ascii="宋体" w:hAnsi="宋体"/>
                      <w:sz w:val="30"/>
                      <w:szCs w:val="30"/>
                      <w:u w:val="single"/>
                    </w:rPr>
                    <w:t xml:space="preserve">         </w:t>
                  </w:r>
                  <w:r>
                    <w:rPr>
                      <w:rFonts w:hint="eastAsia" w:ascii="宋体" w:hAnsi="宋体"/>
                      <w:sz w:val="30"/>
                      <w:szCs w:val="30"/>
                      <w:u w:val="single"/>
                      <w:lang w:val="en-US" w:eastAsia="zh-CN"/>
                    </w:rPr>
                    <w:t xml:space="preserve"> </w:t>
                  </w:r>
                  <w:r>
                    <w:rPr>
                      <w:rFonts w:hint="eastAsia" w:ascii="宋体" w:hAnsi="宋体"/>
                      <w:sz w:val="30"/>
                      <w:szCs w:val="30"/>
                      <w:u w:val="single"/>
                    </w:rPr>
                    <w:t xml:space="preserve"> 202</w:t>
                  </w:r>
                  <w:r>
                    <w:rPr>
                      <w:rFonts w:hint="eastAsia" w:ascii="宋体" w:hAnsi="宋体"/>
                      <w:sz w:val="30"/>
                      <w:szCs w:val="30"/>
                      <w:u w:val="single"/>
                      <w:lang w:val="en-US" w:eastAsia="zh-CN"/>
                    </w:rPr>
                    <w:t>5</w:t>
                  </w:r>
                  <w:r>
                    <w:rPr>
                      <w:rFonts w:hint="eastAsia" w:ascii="宋体" w:hAnsi="宋体"/>
                      <w:sz w:val="30"/>
                      <w:szCs w:val="30"/>
                      <w:u w:val="single"/>
                    </w:rPr>
                    <w:t>年</w:t>
                  </w:r>
                  <w:r>
                    <w:rPr>
                      <w:rFonts w:hint="eastAsia" w:ascii="宋体" w:hAnsi="宋体"/>
                      <w:sz w:val="30"/>
                      <w:szCs w:val="30"/>
                      <w:u w:val="single"/>
                      <w:lang w:val="en-US" w:eastAsia="zh-CN"/>
                    </w:rPr>
                    <w:t>5</w:t>
                  </w:r>
                  <w:r>
                    <w:rPr>
                      <w:rFonts w:hint="eastAsia" w:ascii="宋体" w:hAnsi="宋体"/>
                      <w:sz w:val="30"/>
                      <w:szCs w:val="30"/>
                      <w:u w:val="single"/>
                    </w:rPr>
                    <w:t>月</w:t>
                  </w:r>
                  <w:r>
                    <w:rPr>
                      <w:rFonts w:hint="eastAsia" w:ascii="宋体" w:hAnsi="宋体"/>
                      <w:sz w:val="30"/>
                      <w:szCs w:val="30"/>
                      <w:u w:val="single"/>
                      <w:lang w:val="en-US" w:eastAsia="zh-CN"/>
                    </w:rPr>
                    <w:t>26</w:t>
                  </w:r>
                  <w:r>
                    <w:rPr>
                      <w:rFonts w:hint="eastAsia" w:ascii="宋体" w:hAnsi="宋体"/>
                      <w:sz w:val="30"/>
                      <w:szCs w:val="30"/>
                      <w:u w:val="single"/>
                    </w:rPr>
                    <w:t xml:space="preserve">日     </w:t>
                  </w:r>
                  <w:r>
                    <w:rPr>
                      <w:rFonts w:hint="eastAsia" w:ascii="宋体" w:hAnsi="宋体"/>
                      <w:sz w:val="30"/>
                      <w:szCs w:val="30"/>
                      <w:u w:val="single"/>
                      <w:lang w:val="en-US" w:eastAsia="zh-CN"/>
                    </w:rPr>
                    <w:t xml:space="preserve">    </w:t>
                  </w:r>
                  <w:r>
                    <w:rPr>
                      <w:rFonts w:hint="eastAsia" w:ascii="宋体" w:hAnsi="宋体"/>
                      <w:sz w:val="30"/>
                      <w:szCs w:val="30"/>
                      <w:u w:val="single"/>
                    </w:rPr>
                    <w:t xml:space="preserve">      </w:t>
                  </w:r>
                </w:p>
                <w:p w14:paraId="36A9326F">
                  <w:pPr>
                    <w:spacing w:line="720" w:lineRule="auto"/>
                    <w:ind w:firstLine="300" w:firstLineChars="100"/>
                    <w:rPr>
                      <w:rFonts w:ascii="宋体" w:hAnsi="宋体"/>
                      <w:sz w:val="30"/>
                      <w:szCs w:val="30"/>
                      <w:u w:val="single"/>
                    </w:rPr>
                  </w:pPr>
                </w:p>
                <w:p w14:paraId="2B691126">
                  <w:pPr>
                    <w:spacing w:line="720" w:lineRule="auto"/>
                    <w:ind w:firstLine="300" w:firstLineChars="100"/>
                    <w:rPr>
                      <w:rFonts w:ascii="宋体" w:hAnsi="宋体"/>
                      <w:sz w:val="30"/>
                      <w:szCs w:val="30"/>
                      <w:u w:val="single"/>
                    </w:rPr>
                  </w:pPr>
                </w:p>
                <w:p w14:paraId="06B5BDE5">
                  <w:pPr>
                    <w:spacing w:line="720" w:lineRule="auto"/>
                    <w:rPr>
                      <w:rFonts w:ascii="宋体" w:hAnsi="宋体"/>
                      <w:sz w:val="30"/>
                      <w:szCs w:val="30"/>
                      <w:u w:val="single"/>
                    </w:rPr>
                  </w:pPr>
                </w:p>
                <w:p w14:paraId="52CB71D9"/>
                <w:p w14:paraId="61CD4918">
                  <w:r>
                    <w:rPr>
                      <w:rFonts w:hint="eastAsia"/>
                    </w:rPr>
                    <w:t xml:space="preserve">                                   </w:t>
                  </w:r>
                  <w:r>
                    <w:rPr>
                      <w:rFonts w:hint="eastAsia"/>
                      <w:sz w:val="30"/>
                      <w:szCs w:val="30"/>
                    </w:rPr>
                    <w:drawing>
                      <wp:inline distT="0" distB="0" distL="114300" distR="114300">
                        <wp:extent cx="1457960" cy="1349375"/>
                        <wp:effectExtent l="0" t="0" r="5080" b="6985"/>
                        <wp:docPr id="2" name="图片 1" descr="QQ图片2018061218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QQ图片20180612182947"/>
                                <pic:cNvPicPr>
                                  <a:picLocks noChangeAspect="1"/>
                                </pic:cNvPicPr>
                              </pic:nvPicPr>
                              <pic:blipFill>
                                <a:blip r:embed="rId6"/>
                                <a:stretch>
                                  <a:fillRect/>
                                </a:stretch>
                              </pic:blipFill>
                              <pic:spPr>
                                <a:xfrm>
                                  <a:off x="0" y="0"/>
                                  <a:ext cx="1457960" cy="1349375"/>
                                </a:xfrm>
                                <a:prstGeom prst="rect">
                                  <a:avLst/>
                                </a:prstGeom>
                                <a:noFill/>
                                <a:ln w="9525">
                                  <a:noFill/>
                                </a:ln>
                              </pic:spPr>
                            </pic:pic>
                          </a:graphicData>
                        </a:graphic>
                      </wp:inline>
                    </w:drawing>
                  </w:r>
                </w:p>
                <w:p w14:paraId="507D11E2"/>
                <w:p w14:paraId="4EADCB0B">
                  <w:pPr>
                    <w:jc w:val="center"/>
                    <w:rPr>
                      <w:sz w:val="32"/>
                      <w:szCs w:val="32"/>
                    </w:rPr>
                  </w:pPr>
                  <w:r>
                    <w:rPr>
                      <w:rFonts w:hint="eastAsia"/>
                      <w:sz w:val="32"/>
                      <w:szCs w:val="32"/>
                    </w:rPr>
                    <w:t xml:space="preserve">    浙江华域高宇项目管理有限公司</w:t>
                  </w:r>
                </w:p>
                <w:p w14:paraId="71EA066D">
                  <w:pPr>
                    <w:jc w:val="center"/>
                    <w:rPr>
                      <w:rFonts w:ascii="宋体" w:hAnsi="宋体"/>
                      <w:szCs w:val="21"/>
                    </w:rPr>
                  </w:pPr>
                  <w:r>
                    <w:rPr>
                      <w:rFonts w:hint="eastAsia" w:ascii="宋体" w:hAnsi="宋体"/>
                      <w:szCs w:val="21"/>
                    </w:rPr>
                    <w:t xml:space="preserve">    地址：浙江省杭州市萧山区北干街道金城路560号心意广场2幢1101室</w:t>
                  </w:r>
                </w:p>
                <w:p w14:paraId="025B348D">
                  <w:pPr>
                    <w:jc w:val="center"/>
                    <w:rPr>
                      <w:sz w:val="28"/>
                    </w:rPr>
                  </w:pPr>
                  <w:r>
                    <w:rPr>
                      <w:rFonts w:hint="eastAsia" w:ascii="宋体" w:hAnsi="宋体"/>
                      <w:szCs w:val="21"/>
                    </w:rPr>
                    <w:t xml:space="preserve">     联系电话：0571-</w:t>
                  </w:r>
                  <w:r>
                    <w:rPr>
                      <w:rFonts w:hint="eastAsia" w:ascii="宋体" w:hAnsi="宋体"/>
                    </w:rPr>
                    <w:t>2286665</w:t>
                  </w:r>
                  <w:r>
                    <w:rPr>
                      <w:rFonts w:hint="eastAsia" w:ascii="宋体" w:hAnsi="宋体"/>
                      <w:lang w:val="en-US" w:eastAsia="zh-CN"/>
                    </w:rPr>
                    <w:t>1</w:t>
                  </w:r>
                  <w:r>
                    <w:rPr>
                      <w:rFonts w:hint="eastAsia" w:ascii="宋体" w:hAnsi="宋体"/>
                      <w:szCs w:val="21"/>
                    </w:rPr>
                    <w:t xml:space="preserve">  邮编：311200 传真0571-22866657</w:t>
                  </w:r>
                </w:p>
                <w:p w14:paraId="097A9C4B">
                  <w:pPr>
                    <w:jc w:val="center"/>
                    <w:rPr>
                      <w:sz w:val="28"/>
                    </w:rPr>
                  </w:pPr>
                </w:p>
                <w:p w14:paraId="01C9970C">
                  <w:pPr>
                    <w:jc w:val="center"/>
                    <w:rPr>
                      <w:sz w:val="28"/>
                    </w:rPr>
                  </w:pPr>
                </w:p>
                <w:p w14:paraId="069D548E">
                  <w:pPr>
                    <w:jc w:val="center"/>
                    <w:rPr>
                      <w:sz w:val="28"/>
                    </w:rPr>
                  </w:pPr>
                </w:p>
                <w:p w14:paraId="008038CC">
                  <w:pPr>
                    <w:jc w:val="center"/>
                    <w:rPr>
                      <w:sz w:val="28"/>
                    </w:rPr>
                  </w:pPr>
                </w:p>
                <w:p w14:paraId="08903887">
                  <w:pPr>
                    <w:jc w:val="center"/>
                    <w:rPr>
                      <w:sz w:val="28"/>
                    </w:rPr>
                  </w:pPr>
                </w:p>
                <w:p w14:paraId="14B09B47">
                  <w:pPr>
                    <w:jc w:val="center"/>
                    <w:rPr>
                      <w:b/>
                      <w:bCs/>
                      <w:sz w:val="36"/>
                    </w:rPr>
                  </w:pPr>
                  <w:r>
                    <w:rPr>
                      <w:rFonts w:hint="eastAsia"/>
                      <w:b/>
                      <w:bCs/>
                      <w:sz w:val="36"/>
                    </w:rPr>
                    <w:t>（咨</w:t>
                  </w:r>
                  <w:r>
                    <w:rPr>
                      <w:b/>
                      <w:bCs/>
                      <w:sz w:val="36"/>
                    </w:rPr>
                    <w:t xml:space="preserve"> </w:t>
                  </w:r>
                  <w:r>
                    <w:rPr>
                      <w:rFonts w:hint="eastAsia"/>
                      <w:b/>
                      <w:bCs/>
                      <w:sz w:val="36"/>
                    </w:rPr>
                    <w:t>询</w:t>
                  </w:r>
                  <w:r>
                    <w:rPr>
                      <w:b/>
                      <w:bCs/>
                      <w:sz w:val="36"/>
                    </w:rPr>
                    <w:t xml:space="preserve"> </w:t>
                  </w:r>
                  <w:r>
                    <w:rPr>
                      <w:rFonts w:hint="eastAsia"/>
                      <w:b/>
                      <w:bCs/>
                      <w:sz w:val="36"/>
                    </w:rPr>
                    <w:t>企</w:t>
                  </w:r>
                  <w:r>
                    <w:rPr>
                      <w:b/>
                      <w:bCs/>
                      <w:sz w:val="36"/>
                    </w:rPr>
                    <w:t xml:space="preserve"> </w:t>
                  </w:r>
                  <w:r>
                    <w:rPr>
                      <w:rFonts w:hint="eastAsia"/>
                      <w:b/>
                      <w:bCs/>
                      <w:sz w:val="36"/>
                    </w:rPr>
                    <w:t>业</w:t>
                  </w:r>
                  <w:r>
                    <w:rPr>
                      <w:b/>
                      <w:bCs/>
                      <w:sz w:val="36"/>
                    </w:rPr>
                    <w:t xml:space="preserve"> </w:t>
                  </w:r>
                  <w:r>
                    <w:rPr>
                      <w:rFonts w:hint="eastAsia"/>
                      <w:b/>
                      <w:bCs/>
                      <w:sz w:val="36"/>
                    </w:rPr>
                    <w:t>全</w:t>
                  </w:r>
                  <w:r>
                    <w:rPr>
                      <w:b/>
                      <w:bCs/>
                      <w:sz w:val="36"/>
                    </w:rPr>
                    <w:t xml:space="preserve"> </w:t>
                  </w:r>
                  <w:r>
                    <w:rPr>
                      <w:rFonts w:hint="eastAsia"/>
                      <w:b/>
                      <w:bCs/>
                      <w:sz w:val="36"/>
                    </w:rPr>
                    <w:t>称）</w:t>
                  </w:r>
                </w:p>
                <w:p w14:paraId="2838D740">
                  <w:pPr>
                    <w:jc w:val="center"/>
                    <w:rPr>
                      <w:sz w:val="28"/>
                    </w:rPr>
                  </w:pPr>
                </w:p>
                <w:p w14:paraId="5B973B05"/>
                <w:p w14:paraId="0C82E822">
                  <w:pPr>
                    <w:ind w:firstLine="280" w:firstLineChars="100"/>
                    <w:rPr>
                      <w:sz w:val="28"/>
                    </w:rPr>
                  </w:pPr>
                </w:p>
                <w:p w14:paraId="512D6C1E">
                  <w:pPr>
                    <w:rPr>
                      <w:sz w:val="28"/>
                    </w:rPr>
                  </w:pPr>
                </w:p>
                <w:p w14:paraId="2846D81E">
                  <w:pPr>
                    <w:jc w:val="center"/>
                    <w:rPr>
                      <w:sz w:val="28"/>
                    </w:rPr>
                  </w:pPr>
                </w:p>
                <w:p w14:paraId="329406B2">
                  <w:pPr>
                    <w:jc w:val="center"/>
                    <w:rPr>
                      <w:sz w:val="28"/>
                    </w:rPr>
                  </w:pPr>
                </w:p>
                <w:p w14:paraId="1FDA4345">
                  <w:pPr>
                    <w:jc w:val="center"/>
                    <w:rPr>
                      <w:sz w:val="28"/>
                    </w:rPr>
                  </w:pPr>
                </w:p>
                <w:p w14:paraId="4B37BB82">
                  <w:pPr>
                    <w:jc w:val="center"/>
                    <w:rPr>
                      <w:sz w:val="28"/>
                    </w:rPr>
                  </w:pPr>
                </w:p>
                <w:p w14:paraId="27E2A0A3">
                  <w:pPr>
                    <w:jc w:val="center"/>
                    <w:rPr>
                      <w:sz w:val="28"/>
                    </w:rPr>
                  </w:pPr>
                </w:p>
                <w:p w14:paraId="628B06EA">
                  <w:pPr>
                    <w:jc w:val="center"/>
                    <w:rPr>
                      <w:sz w:val="28"/>
                    </w:rPr>
                  </w:pPr>
                </w:p>
                <w:p w14:paraId="6264C9E6">
                  <w:pPr>
                    <w:jc w:val="center"/>
                    <w:rPr>
                      <w:b/>
                      <w:bCs/>
                      <w:sz w:val="36"/>
                    </w:rPr>
                  </w:pPr>
                  <w:r>
                    <w:rPr>
                      <w:rFonts w:hint="eastAsia"/>
                      <w:b/>
                      <w:bCs/>
                      <w:sz w:val="36"/>
                    </w:rPr>
                    <w:t>咨</w:t>
                  </w:r>
                  <w:r>
                    <w:rPr>
                      <w:b/>
                      <w:bCs/>
                      <w:sz w:val="36"/>
                    </w:rPr>
                    <w:t xml:space="preserve"> </w:t>
                  </w:r>
                  <w:r>
                    <w:rPr>
                      <w:rFonts w:hint="eastAsia"/>
                      <w:b/>
                      <w:bCs/>
                      <w:sz w:val="36"/>
                    </w:rPr>
                    <w:t>询</w:t>
                  </w:r>
                  <w:r>
                    <w:rPr>
                      <w:b/>
                      <w:bCs/>
                      <w:sz w:val="36"/>
                    </w:rPr>
                    <w:t xml:space="preserve"> </w:t>
                  </w:r>
                  <w:r>
                    <w:rPr>
                      <w:rFonts w:hint="eastAsia"/>
                      <w:b/>
                      <w:bCs/>
                      <w:sz w:val="36"/>
                    </w:rPr>
                    <w:t>单</w:t>
                  </w:r>
                  <w:r>
                    <w:rPr>
                      <w:b/>
                      <w:bCs/>
                      <w:sz w:val="36"/>
                    </w:rPr>
                    <w:t xml:space="preserve"> </w:t>
                  </w:r>
                  <w:r>
                    <w:rPr>
                      <w:rFonts w:hint="eastAsia"/>
                      <w:b/>
                      <w:bCs/>
                      <w:sz w:val="36"/>
                    </w:rPr>
                    <w:t>位</w:t>
                  </w:r>
                  <w:r>
                    <w:rPr>
                      <w:b/>
                      <w:bCs/>
                      <w:sz w:val="36"/>
                    </w:rPr>
                    <w:t xml:space="preserve"> </w:t>
                  </w:r>
                  <w:r>
                    <w:rPr>
                      <w:rFonts w:hint="eastAsia"/>
                      <w:b/>
                      <w:bCs/>
                      <w:sz w:val="36"/>
                    </w:rPr>
                    <w:t>全</w:t>
                  </w:r>
                  <w:r>
                    <w:rPr>
                      <w:b/>
                      <w:bCs/>
                      <w:sz w:val="36"/>
                    </w:rPr>
                    <w:t xml:space="preserve"> </w:t>
                  </w:r>
                  <w:r>
                    <w:rPr>
                      <w:rFonts w:hint="eastAsia"/>
                      <w:b/>
                      <w:bCs/>
                      <w:sz w:val="36"/>
                    </w:rPr>
                    <w:t>称</w:t>
                  </w:r>
                </w:p>
                <w:p w14:paraId="68CDDD6D">
                  <w:pPr>
                    <w:jc w:val="center"/>
                    <w:rPr>
                      <w:sz w:val="28"/>
                    </w:rPr>
                  </w:pPr>
                  <w:r>
                    <w:rPr>
                      <w:rFonts w:hint="eastAsia"/>
                      <w:sz w:val="28"/>
                    </w:rPr>
                    <w:t>出具报告书日期</w:t>
                  </w:r>
                </w:p>
              </w:txbxContent>
            </v:textbox>
          </v:shape>
        </w:pict>
      </w:r>
    </w:p>
    <w:p w14:paraId="00240436">
      <w:pPr>
        <w:snapToGrid w:val="0"/>
        <w:spacing w:line="300" w:lineRule="auto"/>
      </w:pPr>
    </w:p>
    <w:p w14:paraId="57AAEFB8">
      <w:pPr>
        <w:snapToGrid w:val="0"/>
        <w:spacing w:line="300" w:lineRule="auto"/>
      </w:pPr>
    </w:p>
    <w:p w14:paraId="20CD58E4">
      <w:pPr>
        <w:snapToGrid w:val="0"/>
        <w:spacing w:line="300" w:lineRule="auto"/>
      </w:pPr>
    </w:p>
    <w:p w14:paraId="7F23B6B7">
      <w:pPr>
        <w:snapToGrid w:val="0"/>
        <w:spacing w:line="300" w:lineRule="auto"/>
      </w:pPr>
    </w:p>
    <w:p w14:paraId="580D8FA2">
      <w:pPr>
        <w:snapToGrid w:val="0"/>
        <w:spacing w:line="300" w:lineRule="auto"/>
      </w:pPr>
    </w:p>
    <w:p w14:paraId="4DA1CBE5">
      <w:pPr>
        <w:snapToGrid w:val="0"/>
        <w:spacing w:line="300" w:lineRule="auto"/>
      </w:pPr>
    </w:p>
    <w:p w14:paraId="064AADA1">
      <w:pPr>
        <w:snapToGrid w:val="0"/>
        <w:spacing w:line="300" w:lineRule="auto"/>
      </w:pPr>
    </w:p>
    <w:p w14:paraId="2A27ADFC">
      <w:pPr>
        <w:snapToGrid w:val="0"/>
        <w:spacing w:line="300" w:lineRule="auto"/>
      </w:pPr>
    </w:p>
    <w:p w14:paraId="433ACF75">
      <w:pPr>
        <w:snapToGrid w:val="0"/>
        <w:spacing w:line="300" w:lineRule="auto"/>
      </w:pPr>
    </w:p>
    <w:p w14:paraId="776BF329">
      <w:pPr>
        <w:snapToGrid w:val="0"/>
        <w:spacing w:line="300" w:lineRule="auto"/>
      </w:pPr>
    </w:p>
    <w:p w14:paraId="309BF73B">
      <w:pPr>
        <w:snapToGrid w:val="0"/>
        <w:spacing w:line="300" w:lineRule="auto"/>
      </w:pPr>
    </w:p>
    <w:p w14:paraId="193B24B1">
      <w:pPr>
        <w:snapToGrid w:val="0"/>
        <w:spacing w:line="300" w:lineRule="auto"/>
      </w:pPr>
    </w:p>
    <w:p w14:paraId="54FBA577">
      <w:pPr>
        <w:snapToGrid w:val="0"/>
        <w:spacing w:line="300" w:lineRule="auto"/>
      </w:pPr>
    </w:p>
    <w:p w14:paraId="6BAF8C40">
      <w:pPr>
        <w:snapToGrid w:val="0"/>
        <w:spacing w:line="300" w:lineRule="auto"/>
      </w:pPr>
    </w:p>
    <w:p w14:paraId="4FAA360E">
      <w:pPr>
        <w:snapToGrid w:val="0"/>
        <w:spacing w:line="300" w:lineRule="auto"/>
      </w:pPr>
    </w:p>
    <w:p w14:paraId="72A6D6C7">
      <w:pPr>
        <w:snapToGrid w:val="0"/>
        <w:spacing w:line="300" w:lineRule="auto"/>
      </w:pPr>
    </w:p>
    <w:p w14:paraId="31D226C3">
      <w:pPr>
        <w:snapToGrid w:val="0"/>
        <w:spacing w:line="300" w:lineRule="auto"/>
      </w:pPr>
    </w:p>
    <w:p w14:paraId="38BF63AA">
      <w:pPr>
        <w:snapToGrid w:val="0"/>
        <w:spacing w:line="300" w:lineRule="auto"/>
      </w:pPr>
    </w:p>
    <w:p w14:paraId="1695A772">
      <w:pPr>
        <w:snapToGrid w:val="0"/>
        <w:spacing w:line="300" w:lineRule="auto"/>
      </w:pPr>
    </w:p>
    <w:p w14:paraId="6AED7E3F">
      <w:pPr>
        <w:snapToGrid w:val="0"/>
        <w:spacing w:line="300" w:lineRule="auto"/>
      </w:pPr>
    </w:p>
    <w:p w14:paraId="4534BC2D">
      <w:pPr>
        <w:snapToGrid w:val="0"/>
        <w:spacing w:line="300" w:lineRule="auto"/>
      </w:pPr>
    </w:p>
    <w:p w14:paraId="154080A7">
      <w:pPr>
        <w:snapToGrid w:val="0"/>
        <w:spacing w:line="300" w:lineRule="auto"/>
      </w:pPr>
    </w:p>
    <w:p w14:paraId="45F3A32F">
      <w:pPr>
        <w:snapToGrid w:val="0"/>
        <w:spacing w:line="300" w:lineRule="auto"/>
      </w:pPr>
    </w:p>
    <w:p w14:paraId="01AD6ACD">
      <w:pPr>
        <w:snapToGrid w:val="0"/>
        <w:spacing w:line="300" w:lineRule="auto"/>
      </w:pPr>
    </w:p>
    <w:p w14:paraId="74B6E091">
      <w:pPr>
        <w:snapToGrid w:val="0"/>
        <w:spacing w:line="300" w:lineRule="auto"/>
      </w:pPr>
    </w:p>
    <w:p w14:paraId="49715200">
      <w:pPr>
        <w:snapToGrid w:val="0"/>
        <w:spacing w:line="300" w:lineRule="auto"/>
      </w:pPr>
    </w:p>
    <w:p w14:paraId="0E420DE7">
      <w:pPr>
        <w:snapToGrid w:val="0"/>
        <w:spacing w:line="300" w:lineRule="auto"/>
      </w:pPr>
    </w:p>
    <w:p w14:paraId="62933258">
      <w:pPr>
        <w:snapToGrid w:val="0"/>
        <w:spacing w:line="300" w:lineRule="auto"/>
      </w:pPr>
    </w:p>
    <w:p w14:paraId="0F7A4A83">
      <w:pPr>
        <w:snapToGrid w:val="0"/>
        <w:spacing w:line="300" w:lineRule="auto"/>
      </w:pPr>
    </w:p>
    <w:p w14:paraId="2C2A4983">
      <w:pPr>
        <w:snapToGrid w:val="0"/>
        <w:spacing w:line="300" w:lineRule="auto"/>
      </w:pPr>
    </w:p>
    <w:p w14:paraId="5EE97FCB">
      <w:pPr>
        <w:snapToGrid w:val="0"/>
        <w:spacing w:line="300" w:lineRule="auto"/>
      </w:pPr>
    </w:p>
    <w:p w14:paraId="6A26DEBE">
      <w:pPr>
        <w:snapToGrid w:val="0"/>
        <w:spacing w:line="300" w:lineRule="auto"/>
      </w:pPr>
    </w:p>
    <w:p w14:paraId="0D3CDD7D">
      <w:pPr>
        <w:snapToGrid w:val="0"/>
        <w:spacing w:line="300" w:lineRule="auto"/>
      </w:pPr>
    </w:p>
    <w:p w14:paraId="2D98E735">
      <w:pPr>
        <w:snapToGrid w:val="0"/>
        <w:spacing w:line="300" w:lineRule="auto"/>
      </w:pPr>
    </w:p>
    <w:p w14:paraId="55030AE6">
      <w:pPr>
        <w:snapToGrid w:val="0"/>
        <w:spacing w:line="300" w:lineRule="auto"/>
      </w:pPr>
    </w:p>
    <w:p w14:paraId="5080BF4E">
      <w:pPr>
        <w:snapToGrid w:val="0"/>
        <w:spacing w:line="300" w:lineRule="auto"/>
      </w:pPr>
    </w:p>
    <w:p w14:paraId="1E168F12">
      <w:pPr>
        <w:snapToGrid w:val="0"/>
        <w:spacing w:line="300" w:lineRule="auto"/>
      </w:pPr>
    </w:p>
    <w:p w14:paraId="10D360BB">
      <w:pPr>
        <w:snapToGrid w:val="0"/>
        <w:spacing w:line="300" w:lineRule="auto"/>
      </w:pPr>
    </w:p>
    <w:p w14:paraId="515D98F1">
      <w:pPr>
        <w:snapToGrid w:val="0"/>
        <w:spacing w:line="300" w:lineRule="auto"/>
      </w:pPr>
    </w:p>
    <w:tbl>
      <w:tblPr>
        <w:tblStyle w:val="8"/>
        <w:tblW w:w="912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120"/>
      </w:tblGrid>
      <w:tr w14:paraId="3B54EE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982" w:hRule="exact"/>
        </w:trPr>
        <w:tc>
          <w:tcPr>
            <w:tcW w:w="9120" w:type="dxa"/>
            <w:tcBorders>
              <w:tl2br w:val="nil"/>
              <w:tr2bl w:val="nil"/>
            </w:tcBorders>
            <w:vAlign w:val="top"/>
          </w:tcPr>
          <w:p w14:paraId="45F7DE4E">
            <w:pPr>
              <w:pStyle w:val="3"/>
              <w:spacing w:line="480" w:lineRule="auto"/>
              <w:ind w:firstLine="210" w:firstLineChars="100"/>
              <w:rPr>
                <w:rFonts w:hint="eastAsia" w:hAnsi="宋体"/>
              </w:rPr>
            </w:pPr>
            <w:r>
              <w:rPr>
                <w:rFonts w:hint="eastAsia" w:hAnsi="宋体"/>
              </w:rPr>
              <w:t>咨询报告书编号：浙高宇</w:t>
            </w:r>
            <w:r>
              <w:rPr>
                <w:rFonts w:hint="eastAsia" w:hAnsi="宋体"/>
                <w:lang w:val="en-US" w:eastAsia="zh-CN"/>
              </w:rPr>
              <w:t>清单</w:t>
            </w:r>
            <w:r>
              <w:rPr>
                <w:rFonts w:hint="eastAsia" w:hAnsi="宋体"/>
              </w:rPr>
              <w:t>（20</w:t>
            </w:r>
            <w:r>
              <w:rPr>
                <w:rFonts w:hint="eastAsia" w:hAnsi="宋体"/>
                <w:lang w:val="en-US" w:eastAsia="zh-CN"/>
              </w:rPr>
              <w:t>25</w:t>
            </w:r>
            <w:r>
              <w:rPr>
                <w:rFonts w:hint="eastAsia" w:hAnsi="宋体"/>
              </w:rPr>
              <w:t>）第</w:t>
            </w:r>
            <w:r>
              <w:rPr>
                <w:rFonts w:hint="eastAsia" w:hAnsi="宋体"/>
                <w:lang w:val="en-US" w:eastAsia="zh-CN"/>
              </w:rPr>
              <w:t>139</w:t>
            </w:r>
            <w:r>
              <w:rPr>
                <w:rFonts w:hint="eastAsia" w:hAnsi="宋体"/>
              </w:rPr>
              <w:t xml:space="preserve">号 </w:t>
            </w:r>
          </w:p>
          <w:p w14:paraId="313DABDF">
            <w:pPr>
              <w:pStyle w:val="3"/>
              <w:spacing w:line="480" w:lineRule="auto"/>
              <w:ind w:firstLine="210" w:firstLineChars="100"/>
              <w:rPr>
                <w:rFonts w:hint="default" w:hAnsi="宋体"/>
                <w:highlight w:val="none"/>
                <w:lang w:val="en-US" w:eastAsia="zh-CN"/>
              </w:rPr>
            </w:pPr>
            <w:r>
              <w:rPr>
                <w:rFonts w:hint="eastAsia" w:hAnsi="宋体"/>
              </w:rPr>
              <w:t>咨询项目委托方全称：</w:t>
            </w:r>
            <w:r>
              <w:rPr>
                <w:rFonts w:hint="eastAsia" w:ascii="宋体" w:hAnsi="宋体" w:eastAsia="宋体" w:cs="Courier New"/>
                <w:lang w:val="en-US" w:eastAsia="zh-CN"/>
              </w:rPr>
              <w:t>杭州市拱墅区武林幼儿园</w:t>
            </w:r>
          </w:p>
          <w:p w14:paraId="3DEA0816">
            <w:pPr>
              <w:pStyle w:val="3"/>
              <w:spacing w:line="480" w:lineRule="auto"/>
              <w:ind w:firstLine="210" w:firstLineChars="100"/>
              <w:rPr>
                <w:rFonts w:hint="eastAsia" w:hAnsi="宋体"/>
              </w:rPr>
            </w:pPr>
            <w:r>
              <w:rPr>
                <w:rFonts w:hint="eastAsia" w:hAnsi="宋体"/>
              </w:rPr>
              <w:t>报告出具单位公章：</w:t>
            </w:r>
          </w:p>
          <w:p w14:paraId="68A8869F">
            <w:pPr>
              <w:pStyle w:val="3"/>
              <w:spacing w:line="480" w:lineRule="auto"/>
              <w:rPr>
                <w:rFonts w:hint="eastAsia" w:hAnsi="宋体"/>
              </w:rPr>
            </w:pPr>
          </w:p>
          <w:p w14:paraId="6F487D3D">
            <w:pPr>
              <w:pStyle w:val="3"/>
              <w:spacing w:line="480" w:lineRule="auto"/>
              <w:rPr>
                <w:rFonts w:hint="eastAsia" w:hAnsi="宋体"/>
              </w:rPr>
            </w:pPr>
          </w:p>
          <w:p w14:paraId="15E97A0C">
            <w:pPr>
              <w:ind w:firstLine="210" w:firstLineChars="100"/>
              <w:jc w:val="both"/>
              <w:rPr>
                <w:rFonts w:hint="eastAsia" w:ascii="宋体" w:hAnsi="宋体"/>
                <w:szCs w:val="21"/>
              </w:rPr>
            </w:pPr>
            <w:r>
              <w:rPr>
                <w:rFonts w:hint="eastAsia" w:hAnsi="宋体"/>
              </w:rPr>
              <w:t>咨询企业法定住所：</w:t>
            </w:r>
            <w:r>
              <w:rPr>
                <w:rFonts w:hint="eastAsia" w:ascii="宋体" w:hAnsi="宋体"/>
                <w:szCs w:val="21"/>
              </w:rPr>
              <w:t>浙江省杭州市萧山区北干街道金城路560号心意广场2幢1101室</w:t>
            </w:r>
            <w:r>
              <w:rPr>
                <w:rFonts w:hint="eastAsia" w:hAnsi="宋体"/>
              </w:rPr>
              <w:t xml:space="preserve">                      </w:t>
            </w:r>
          </w:p>
          <w:p w14:paraId="416ACB19">
            <w:pPr>
              <w:pStyle w:val="3"/>
              <w:spacing w:line="480" w:lineRule="auto"/>
              <w:ind w:firstLine="210" w:firstLineChars="100"/>
              <w:rPr>
                <w:rFonts w:hint="eastAsia" w:hAnsi="宋体" w:eastAsia="宋体"/>
                <w:lang w:val="en-US" w:eastAsia="zh-CN"/>
              </w:rPr>
            </w:pPr>
            <w:r>
              <w:rPr>
                <w:rFonts w:hint="eastAsia" w:hAnsi="宋体"/>
              </w:rPr>
              <w:t>邮      编：311200              联系电话：0571-</w:t>
            </w:r>
            <w:r>
              <w:rPr>
                <w:rFonts w:hint="eastAsia" w:ascii="仿宋_GB2312" w:hAnsi="宋体" w:eastAsia="仿宋_GB2312"/>
                <w:sz w:val="24"/>
              </w:rPr>
              <w:t>-</w:t>
            </w:r>
            <w:r>
              <w:rPr>
                <w:rFonts w:hint="eastAsia" w:hAnsi="宋体"/>
              </w:rPr>
              <w:t>2286665</w:t>
            </w:r>
            <w:r>
              <w:rPr>
                <w:rFonts w:hint="eastAsia" w:hAnsi="宋体"/>
                <w:lang w:val="en-US" w:eastAsia="zh-CN"/>
              </w:rPr>
              <w:t>1</w:t>
            </w:r>
          </w:p>
          <w:p w14:paraId="6655D4B7">
            <w:pPr>
              <w:pStyle w:val="3"/>
              <w:spacing w:line="480" w:lineRule="auto"/>
              <w:ind w:firstLine="210" w:firstLineChars="100"/>
              <w:rPr>
                <w:rFonts w:hint="eastAsia" w:hAnsi="宋体"/>
              </w:rPr>
            </w:pPr>
            <w:r>
              <w:rPr>
                <w:rFonts w:hint="eastAsia" w:hAnsi="宋体"/>
              </w:rPr>
              <w:t>咨询作业期：</w:t>
            </w:r>
          </w:p>
          <w:p w14:paraId="6120A15C">
            <w:pPr>
              <w:spacing w:line="480" w:lineRule="auto"/>
              <w:ind w:firstLine="210" w:firstLineChars="100"/>
              <w:rPr>
                <w:rFonts w:hint="eastAsia" w:ascii="宋体" w:hAnsi="宋体" w:eastAsia="宋体"/>
                <w:szCs w:val="21"/>
                <w:lang w:val="en-US" w:eastAsia="zh-CN"/>
              </w:rPr>
            </w:pPr>
            <w:r>
              <w:rPr>
                <w:rFonts w:hint="eastAsia" w:ascii="宋体" w:hAnsi="宋体"/>
                <w:szCs w:val="21"/>
              </w:rPr>
              <w:t xml:space="preserve">法定代表人：高强              技术负责人： </w:t>
            </w:r>
            <w:r>
              <w:rPr>
                <w:rFonts w:hint="eastAsia" w:ascii="宋体" w:hAnsi="宋体"/>
                <w:szCs w:val="21"/>
                <w:lang w:val="en-US" w:eastAsia="zh-CN"/>
              </w:rPr>
              <w:t>高强</w:t>
            </w:r>
          </w:p>
          <w:p w14:paraId="53F8260E">
            <w:pPr>
              <w:spacing w:line="480" w:lineRule="auto"/>
              <w:ind w:firstLine="210" w:firstLineChars="100"/>
              <w:rPr>
                <w:rFonts w:hint="eastAsia" w:ascii="宋体" w:hAnsi="宋体"/>
                <w:szCs w:val="21"/>
              </w:rPr>
            </w:pPr>
          </w:p>
          <w:p w14:paraId="71497AD3">
            <w:pPr>
              <w:spacing w:line="480" w:lineRule="auto"/>
              <w:ind w:firstLine="210" w:firstLineChars="100"/>
              <w:rPr>
                <w:rFonts w:hint="eastAsia" w:ascii="宋体" w:hAnsi="宋体"/>
                <w:szCs w:val="21"/>
              </w:rPr>
            </w:pPr>
          </w:p>
          <w:p w14:paraId="04834602">
            <w:pPr>
              <w:spacing w:line="480" w:lineRule="auto"/>
              <w:ind w:firstLine="210" w:firstLineChars="100"/>
              <w:rPr>
                <w:rFonts w:hint="eastAsia" w:ascii="宋体" w:hAnsi="宋体"/>
                <w:szCs w:val="21"/>
              </w:rPr>
            </w:pPr>
            <w:r>
              <w:rPr>
                <w:rFonts w:hint="eastAsia" w:ascii="宋体" w:hAnsi="宋体"/>
                <w:szCs w:val="21"/>
              </w:rPr>
              <w:t>项目负责人：</w:t>
            </w:r>
            <w:r>
              <w:rPr>
                <w:rFonts w:hint="eastAsia" w:hAnsi="宋体"/>
              </w:rPr>
              <w:t xml:space="preserve">      </w:t>
            </w:r>
            <w:r>
              <w:rPr>
                <w:rFonts w:hint="eastAsia" w:ascii="宋体" w:hAnsi="宋体"/>
                <w:szCs w:val="21"/>
              </w:rPr>
              <w:t xml:space="preserve">        执（从）业资格（章）：   从事专业：</w:t>
            </w:r>
          </w:p>
          <w:p w14:paraId="0EA2D06C">
            <w:pPr>
              <w:spacing w:line="480" w:lineRule="auto"/>
              <w:ind w:firstLine="210" w:firstLineChars="100"/>
              <w:rPr>
                <w:rFonts w:hint="eastAsia" w:hAnsi="宋体"/>
              </w:rPr>
            </w:pPr>
          </w:p>
          <w:p w14:paraId="614934A4">
            <w:pPr>
              <w:spacing w:line="480" w:lineRule="auto"/>
              <w:ind w:firstLine="210" w:firstLineChars="100"/>
              <w:rPr>
                <w:rFonts w:hint="eastAsia" w:ascii="宋体" w:hAnsi="宋体"/>
                <w:szCs w:val="21"/>
              </w:rPr>
            </w:pPr>
            <w:r>
              <w:rPr>
                <w:rFonts w:hint="eastAsia" w:hAnsi="宋体"/>
              </w:rPr>
              <w:t>专业咨询人员：            执（从）业资格（章）：   从事专业：</w:t>
            </w:r>
          </w:p>
          <w:p w14:paraId="0B7506E8">
            <w:pPr>
              <w:spacing w:line="480" w:lineRule="auto"/>
              <w:ind w:firstLine="1050" w:firstLineChars="500"/>
              <w:rPr>
                <w:rFonts w:hint="eastAsia" w:ascii="宋体" w:hAnsi="宋体"/>
                <w:szCs w:val="21"/>
              </w:rPr>
            </w:pPr>
          </w:p>
          <w:p w14:paraId="4C32B657">
            <w:pPr>
              <w:spacing w:line="480" w:lineRule="auto"/>
              <w:ind w:firstLine="210" w:firstLineChars="100"/>
              <w:rPr>
                <w:rFonts w:hint="eastAsia" w:ascii="宋体" w:hAnsi="宋体"/>
                <w:szCs w:val="21"/>
              </w:rPr>
            </w:pPr>
            <w:r>
              <w:rPr>
                <w:rFonts w:hint="eastAsia" w:hAnsi="宋体"/>
              </w:rPr>
              <w:t>专业咨询人员：            执（从）业资格（章）：   从事专业：</w:t>
            </w:r>
          </w:p>
          <w:p w14:paraId="51039592">
            <w:pPr>
              <w:pStyle w:val="3"/>
              <w:spacing w:line="480" w:lineRule="auto"/>
              <w:rPr>
                <w:rFonts w:hint="eastAsia" w:hAnsi="宋体"/>
              </w:rPr>
            </w:pPr>
          </w:p>
          <w:p w14:paraId="5FAF6EE1">
            <w:pPr>
              <w:spacing w:line="480" w:lineRule="auto"/>
              <w:ind w:firstLine="210" w:firstLineChars="100"/>
              <w:rPr>
                <w:rFonts w:hint="eastAsia"/>
              </w:rPr>
            </w:pPr>
            <w:r>
              <w:rPr>
                <w:rFonts w:hint="eastAsia"/>
              </w:rPr>
              <w:t>专业咨询人员：            执（从）业资格（章）：   从事专业：</w:t>
            </w:r>
          </w:p>
          <w:p w14:paraId="3081DBD9">
            <w:pPr>
              <w:spacing w:line="480" w:lineRule="auto"/>
              <w:rPr>
                <w:rFonts w:hint="eastAsia"/>
              </w:rPr>
            </w:pPr>
          </w:p>
          <w:p w14:paraId="47D847E7">
            <w:pPr>
              <w:spacing w:line="480" w:lineRule="auto"/>
              <w:rPr>
                <w:rFonts w:ascii="宋体" w:hAnsi="宋体"/>
                <w:szCs w:val="21"/>
              </w:rPr>
            </w:pPr>
          </w:p>
        </w:tc>
      </w:tr>
    </w:tbl>
    <w:p w14:paraId="53127DCF">
      <w:pPr>
        <w:pStyle w:val="3"/>
        <w:tabs>
          <w:tab w:val="left" w:pos="0"/>
        </w:tabs>
        <w:ind w:right="960"/>
        <w:rPr>
          <w:rFonts w:ascii="黑体" w:eastAsia="黑体"/>
          <w:sz w:val="48"/>
        </w:rPr>
      </w:pP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1"/>
        <w:gridCol w:w="3967"/>
        <w:gridCol w:w="1511"/>
        <w:gridCol w:w="791"/>
        <w:gridCol w:w="1612"/>
      </w:tblGrid>
      <w:tr w14:paraId="09B95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6" w:hRule="exact"/>
        </w:trPr>
        <w:tc>
          <w:tcPr>
            <w:tcW w:w="8522" w:type="dxa"/>
            <w:gridSpan w:val="5"/>
            <w:tcBorders>
              <w:top w:val="nil"/>
              <w:left w:val="nil"/>
              <w:bottom w:val="single" w:color="auto" w:sz="8" w:space="0"/>
              <w:right w:val="nil"/>
            </w:tcBorders>
            <w:vAlign w:val="center"/>
          </w:tcPr>
          <w:p w14:paraId="11570FC7">
            <w:pPr>
              <w:jc w:val="center"/>
              <w:rPr>
                <w:rFonts w:ascii="宋体" w:hAnsi="宋体"/>
                <w:sz w:val="44"/>
              </w:rPr>
            </w:pPr>
            <w:r>
              <w:rPr>
                <w:rFonts w:hint="eastAsia" w:ascii="宋体" w:hAnsi="宋体"/>
                <w:sz w:val="44"/>
              </w:rPr>
              <w:t>咨 询 报 告 书 目 录</w:t>
            </w:r>
          </w:p>
          <w:p w14:paraId="725AE47B">
            <w:pPr>
              <w:spacing w:line="400" w:lineRule="exact"/>
              <w:jc w:val="center"/>
            </w:pPr>
            <w:r>
              <w:rPr>
                <w:rFonts w:hint="eastAsia" w:eastAsia="方正小标宋简体"/>
              </w:rPr>
              <w:t xml:space="preserve">                                                                   </w:t>
            </w:r>
            <w:r>
              <w:rPr>
                <w:rFonts w:hint="eastAsia"/>
              </w:rPr>
              <w:t xml:space="preserve"> 第  1  页</w:t>
            </w:r>
          </w:p>
        </w:tc>
      </w:tr>
      <w:tr w14:paraId="13C1D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tcBorders>
              <w:top w:val="single" w:color="auto" w:sz="8" w:space="0"/>
            </w:tcBorders>
            <w:vAlign w:val="center"/>
          </w:tcPr>
          <w:p w14:paraId="12113856">
            <w:pPr>
              <w:jc w:val="center"/>
            </w:pPr>
            <w:r>
              <w:rPr>
                <w:rFonts w:hint="eastAsia"/>
              </w:rPr>
              <w:t>序号</w:t>
            </w:r>
          </w:p>
        </w:tc>
        <w:tc>
          <w:tcPr>
            <w:tcW w:w="3967" w:type="dxa"/>
            <w:tcBorders>
              <w:top w:val="single" w:color="auto" w:sz="8" w:space="0"/>
            </w:tcBorders>
            <w:vAlign w:val="center"/>
          </w:tcPr>
          <w:p w14:paraId="584B2F99">
            <w:pPr>
              <w:jc w:val="center"/>
            </w:pPr>
            <w:r>
              <w:rPr>
                <w:rFonts w:hint="eastAsia"/>
              </w:rPr>
              <w:t>文 件 内 容</w:t>
            </w:r>
          </w:p>
        </w:tc>
        <w:tc>
          <w:tcPr>
            <w:tcW w:w="1511" w:type="dxa"/>
            <w:tcBorders>
              <w:top w:val="single" w:color="auto" w:sz="8" w:space="0"/>
            </w:tcBorders>
            <w:vAlign w:val="center"/>
          </w:tcPr>
          <w:p w14:paraId="77BBF465">
            <w:pPr>
              <w:jc w:val="center"/>
            </w:pPr>
            <w:r>
              <w:rPr>
                <w:rFonts w:hint="eastAsia"/>
              </w:rPr>
              <w:t>文件作者</w:t>
            </w:r>
          </w:p>
        </w:tc>
        <w:tc>
          <w:tcPr>
            <w:tcW w:w="791" w:type="dxa"/>
            <w:tcBorders>
              <w:top w:val="single" w:color="auto" w:sz="8" w:space="0"/>
            </w:tcBorders>
            <w:vAlign w:val="center"/>
          </w:tcPr>
          <w:p w14:paraId="1624A27A">
            <w:pPr>
              <w:jc w:val="center"/>
            </w:pPr>
            <w:r>
              <w:rPr>
                <w:rFonts w:hint="eastAsia"/>
              </w:rPr>
              <w:t>页码</w:t>
            </w:r>
          </w:p>
        </w:tc>
        <w:tc>
          <w:tcPr>
            <w:tcW w:w="1612" w:type="dxa"/>
            <w:tcBorders>
              <w:top w:val="single" w:color="auto" w:sz="8" w:space="0"/>
            </w:tcBorders>
            <w:vAlign w:val="center"/>
          </w:tcPr>
          <w:p w14:paraId="688F4251">
            <w:pPr>
              <w:jc w:val="center"/>
            </w:pPr>
            <w:r>
              <w:rPr>
                <w:rFonts w:hint="eastAsia"/>
              </w:rPr>
              <w:t>备 注</w:t>
            </w:r>
          </w:p>
        </w:tc>
      </w:tr>
      <w:tr w14:paraId="0F6D2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exact"/>
        </w:trPr>
        <w:tc>
          <w:tcPr>
            <w:tcW w:w="641" w:type="dxa"/>
            <w:vAlign w:val="center"/>
          </w:tcPr>
          <w:p w14:paraId="1CE532C5">
            <w:pPr>
              <w:jc w:val="center"/>
            </w:pPr>
            <w:r>
              <w:rPr>
                <w:rFonts w:hint="eastAsia"/>
              </w:rPr>
              <w:t>1</w:t>
            </w:r>
          </w:p>
        </w:tc>
        <w:tc>
          <w:tcPr>
            <w:tcW w:w="3967" w:type="dxa"/>
            <w:vAlign w:val="center"/>
          </w:tcPr>
          <w:p w14:paraId="10EEF8EF">
            <w:pPr>
              <w:ind w:left="840" w:hanging="840" w:hangingChars="400"/>
              <w:rPr>
                <w:rFonts w:ascii="宋体" w:hAnsi="宋体"/>
                <w:sz w:val="28"/>
                <w:szCs w:val="28"/>
              </w:rPr>
            </w:pPr>
            <w:r>
              <w:rPr>
                <w:rFonts w:hint="eastAsia" w:ascii="宋体" w:hAnsi="宋体"/>
              </w:rPr>
              <w:t>编制说明</w:t>
            </w:r>
          </w:p>
        </w:tc>
        <w:tc>
          <w:tcPr>
            <w:tcW w:w="1511" w:type="dxa"/>
            <w:vAlign w:val="center"/>
          </w:tcPr>
          <w:p w14:paraId="360DE6F0">
            <w:pPr>
              <w:jc w:val="center"/>
              <w:rPr>
                <w:rFonts w:ascii="宋体" w:hAnsi="宋体"/>
              </w:rPr>
            </w:pPr>
          </w:p>
        </w:tc>
        <w:tc>
          <w:tcPr>
            <w:tcW w:w="791" w:type="dxa"/>
            <w:vAlign w:val="center"/>
          </w:tcPr>
          <w:p w14:paraId="43B67AAD">
            <w:pPr>
              <w:jc w:val="center"/>
            </w:pPr>
          </w:p>
        </w:tc>
        <w:tc>
          <w:tcPr>
            <w:tcW w:w="1612" w:type="dxa"/>
            <w:vAlign w:val="center"/>
          </w:tcPr>
          <w:p w14:paraId="4D541CD0">
            <w:pPr>
              <w:jc w:val="center"/>
            </w:pPr>
          </w:p>
        </w:tc>
      </w:tr>
      <w:tr w14:paraId="2A914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0F744FC2">
            <w:pPr>
              <w:jc w:val="center"/>
            </w:pPr>
            <w:r>
              <w:rPr>
                <w:rFonts w:hint="eastAsia"/>
              </w:rPr>
              <w:t>2</w:t>
            </w:r>
          </w:p>
        </w:tc>
        <w:tc>
          <w:tcPr>
            <w:tcW w:w="3967" w:type="dxa"/>
            <w:vAlign w:val="center"/>
          </w:tcPr>
          <w:p w14:paraId="467CE12D">
            <w:pPr>
              <w:jc w:val="left"/>
            </w:pPr>
            <w:r>
              <w:rPr>
                <w:rFonts w:hint="eastAsia" w:ascii="宋体" w:hAnsi="宋体"/>
              </w:rPr>
              <w:t>明细表</w:t>
            </w:r>
          </w:p>
        </w:tc>
        <w:tc>
          <w:tcPr>
            <w:tcW w:w="1511" w:type="dxa"/>
            <w:vAlign w:val="center"/>
          </w:tcPr>
          <w:p w14:paraId="4C974153">
            <w:pPr>
              <w:jc w:val="center"/>
            </w:pPr>
          </w:p>
        </w:tc>
        <w:tc>
          <w:tcPr>
            <w:tcW w:w="791" w:type="dxa"/>
            <w:vAlign w:val="center"/>
          </w:tcPr>
          <w:p w14:paraId="6955EC7F">
            <w:pPr>
              <w:jc w:val="center"/>
            </w:pPr>
          </w:p>
        </w:tc>
        <w:tc>
          <w:tcPr>
            <w:tcW w:w="1612" w:type="dxa"/>
            <w:vAlign w:val="center"/>
          </w:tcPr>
          <w:p w14:paraId="7BA70994">
            <w:pPr>
              <w:jc w:val="center"/>
            </w:pPr>
          </w:p>
        </w:tc>
      </w:tr>
      <w:tr w14:paraId="27811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exact"/>
        </w:trPr>
        <w:tc>
          <w:tcPr>
            <w:tcW w:w="641" w:type="dxa"/>
            <w:vAlign w:val="center"/>
          </w:tcPr>
          <w:p w14:paraId="4B83779C">
            <w:pPr>
              <w:jc w:val="center"/>
            </w:pPr>
          </w:p>
        </w:tc>
        <w:tc>
          <w:tcPr>
            <w:tcW w:w="3967" w:type="dxa"/>
            <w:vAlign w:val="center"/>
          </w:tcPr>
          <w:p w14:paraId="3053BE64">
            <w:pPr>
              <w:jc w:val="left"/>
              <w:rPr>
                <w:rFonts w:ascii="宋体" w:hAnsi="宋体"/>
              </w:rPr>
            </w:pPr>
          </w:p>
        </w:tc>
        <w:tc>
          <w:tcPr>
            <w:tcW w:w="1511" w:type="dxa"/>
            <w:vAlign w:val="center"/>
          </w:tcPr>
          <w:p w14:paraId="671F0BC4">
            <w:pPr>
              <w:jc w:val="center"/>
            </w:pPr>
          </w:p>
        </w:tc>
        <w:tc>
          <w:tcPr>
            <w:tcW w:w="791" w:type="dxa"/>
            <w:vAlign w:val="center"/>
          </w:tcPr>
          <w:p w14:paraId="771CE373">
            <w:pPr>
              <w:jc w:val="center"/>
            </w:pPr>
          </w:p>
        </w:tc>
        <w:tc>
          <w:tcPr>
            <w:tcW w:w="1612" w:type="dxa"/>
            <w:vAlign w:val="center"/>
          </w:tcPr>
          <w:p w14:paraId="7687675B">
            <w:pPr>
              <w:jc w:val="center"/>
            </w:pPr>
          </w:p>
        </w:tc>
      </w:tr>
      <w:tr w14:paraId="74E65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exact"/>
        </w:trPr>
        <w:tc>
          <w:tcPr>
            <w:tcW w:w="641" w:type="dxa"/>
            <w:vAlign w:val="center"/>
          </w:tcPr>
          <w:p w14:paraId="01D56D0F">
            <w:pPr>
              <w:jc w:val="center"/>
            </w:pPr>
          </w:p>
        </w:tc>
        <w:tc>
          <w:tcPr>
            <w:tcW w:w="3967" w:type="dxa"/>
            <w:vAlign w:val="center"/>
          </w:tcPr>
          <w:p w14:paraId="2BEB569C">
            <w:pPr>
              <w:jc w:val="left"/>
              <w:rPr>
                <w:rFonts w:ascii="宋体" w:hAnsi="宋体"/>
              </w:rPr>
            </w:pPr>
          </w:p>
        </w:tc>
        <w:tc>
          <w:tcPr>
            <w:tcW w:w="1511" w:type="dxa"/>
            <w:vAlign w:val="center"/>
          </w:tcPr>
          <w:p w14:paraId="7A490387">
            <w:pPr>
              <w:jc w:val="center"/>
            </w:pPr>
          </w:p>
        </w:tc>
        <w:tc>
          <w:tcPr>
            <w:tcW w:w="791" w:type="dxa"/>
            <w:vAlign w:val="center"/>
          </w:tcPr>
          <w:p w14:paraId="5C1429D4">
            <w:pPr>
              <w:jc w:val="center"/>
            </w:pPr>
          </w:p>
        </w:tc>
        <w:tc>
          <w:tcPr>
            <w:tcW w:w="1612" w:type="dxa"/>
            <w:vAlign w:val="center"/>
          </w:tcPr>
          <w:p w14:paraId="609B5397">
            <w:pPr>
              <w:jc w:val="center"/>
            </w:pPr>
          </w:p>
        </w:tc>
      </w:tr>
      <w:tr w14:paraId="50D67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4806BD4D">
            <w:pPr>
              <w:jc w:val="center"/>
            </w:pPr>
          </w:p>
        </w:tc>
        <w:tc>
          <w:tcPr>
            <w:tcW w:w="3967" w:type="dxa"/>
            <w:vAlign w:val="center"/>
          </w:tcPr>
          <w:p w14:paraId="092FFB7F">
            <w:pPr>
              <w:rPr>
                <w:rFonts w:ascii="宋体" w:hAnsi="宋体"/>
              </w:rPr>
            </w:pPr>
          </w:p>
        </w:tc>
        <w:tc>
          <w:tcPr>
            <w:tcW w:w="1511" w:type="dxa"/>
            <w:vAlign w:val="center"/>
          </w:tcPr>
          <w:p w14:paraId="182146FF">
            <w:pPr>
              <w:jc w:val="center"/>
            </w:pPr>
          </w:p>
        </w:tc>
        <w:tc>
          <w:tcPr>
            <w:tcW w:w="791" w:type="dxa"/>
            <w:vAlign w:val="center"/>
          </w:tcPr>
          <w:p w14:paraId="6F408478">
            <w:pPr>
              <w:jc w:val="center"/>
            </w:pPr>
          </w:p>
        </w:tc>
        <w:tc>
          <w:tcPr>
            <w:tcW w:w="1612" w:type="dxa"/>
            <w:vAlign w:val="center"/>
          </w:tcPr>
          <w:p w14:paraId="532550D6">
            <w:pPr>
              <w:jc w:val="center"/>
            </w:pPr>
          </w:p>
        </w:tc>
      </w:tr>
      <w:tr w14:paraId="2D3D4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0B8879ED">
            <w:pPr>
              <w:jc w:val="center"/>
            </w:pPr>
          </w:p>
        </w:tc>
        <w:tc>
          <w:tcPr>
            <w:tcW w:w="3967" w:type="dxa"/>
            <w:vAlign w:val="center"/>
          </w:tcPr>
          <w:p w14:paraId="326C7FDE">
            <w:pPr>
              <w:rPr>
                <w:rFonts w:ascii="宋体" w:hAnsi="宋体"/>
              </w:rPr>
            </w:pPr>
          </w:p>
        </w:tc>
        <w:tc>
          <w:tcPr>
            <w:tcW w:w="1511" w:type="dxa"/>
            <w:vAlign w:val="center"/>
          </w:tcPr>
          <w:p w14:paraId="46232EC1">
            <w:pPr>
              <w:jc w:val="center"/>
            </w:pPr>
          </w:p>
        </w:tc>
        <w:tc>
          <w:tcPr>
            <w:tcW w:w="791" w:type="dxa"/>
            <w:vAlign w:val="center"/>
          </w:tcPr>
          <w:p w14:paraId="3B9FE2E0">
            <w:pPr>
              <w:jc w:val="center"/>
            </w:pPr>
          </w:p>
        </w:tc>
        <w:tc>
          <w:tcPr>
            <w:tcW w:w="1612" w:type="dxa"/>
            <w:vAlign w:val="center"/>
          </w:tcPr>
          <w:p w14:paraId="500E8AAF">
            <w:pPr>
              <w:jc w:val="center"/>
            </w:pPr>
          </w:p>
        </w:tc>
      </w:tr>
      <w:tr w14:paraId="44D41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276F63F4">
            <w:pPr>
              <w:jc w:val="center"/>
            </w:pPr>
          </w:p>
        </w:tc>
        <w:tc>
          <w:tcPr>
            <w:tcW w:w="3967" w:type="dxa"/>
            <w:vAlign w:val="center"/>
          </w:tcPr>
          <w:p w14:paraId="2F89195A">
            <w:pPr>
              <w:jc w:val="center"/>
              <w:rPr>
                <w:rFonts w:ascii="宋体" w:hAnsi="宋体"/>
              </w:rPr>
            </w:pPr>
          </w:p>
        </w:tc>
        <w:tc>
          <w:tcPr>
            <w:tcW w:w="1511" w:type="dxa"/>
            <w:vAlign w:val="center"/>
          </w:tcPr>
          <w:p w14:paraId="6A2533D2">
            <w:pPr>
              <w:jc w:val="center"/>
            </w:pPr>
          </w:p>
        </w:tc>
        <w:tc>
          <w:tcPr>
            <w:tcW w:w="791" w:type="dxa"/>
            <w:vAlign w:val="center"/>
          </w:tcPr>
          <w:p w14:paraId="720A2515">
            <w:pPr>
              <w:jc w:val="center"/>
            </w:pPr>
          </w:p>
        </w:tc>
        <w:tc>
          <w:tcPr>
            <w:tcW w:w="1612" w:type="dxa"/>
            <w:vAlign w:val="center"/>
          </w:tcPr>
          <w:p w14:paraId="311E97FB">
            <w:pPr>
              <w:jc w:val="center"/>
            </w:pPr>
          </w:p>
        </w:tc>
      </w:tr>
      <w:tr w14:paraId="218B1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32418215">
            <w:pPr>
              <w:jc w:val="center"/>
            </w:pPr>
          </w:p>
        </w:tc>
        <w:tc>
          <w:tcPr>
            <w:tcW w:w="3967" w:type="dxa"/>
            <w:vAlign w:val="center"/>
          </w:tcPr>
          <w:p w14:paraId="067F7DD3">
            <w:pPr>
              <w:jc w:val="center"/>
              <w:rPr>
                <w:rFonts w:ascii="宋体" w:hAnsi="宋体"/>
              </w:rPr>
            </w:pPr>
          </w:p>
        </w:tc>
        <w:tc>
          <w:tcPr>
            <w:tcW w:w="1511" w:type="dxa"/>
            <w:vAlign w:val="center"/>
          </w:tcPr>
          <w:p w14:paraId="67047E8E">
            <w:pPr>
              <w:jc w:val="center"/>
            </w:pPr>
          </w:p>
        </w:tc>
        <w:tc>
          <w:tcPr>
            <w:tcW w:w="791" w:type="dxa"/>
            <w:vAlign w:val="center"/>
          </w:tcPr>
          <w:p w14:paraId="2A9F1F38">
            <w:pPr>
              <w:jc w:val="center"/>
            </w:pPr>
          </w:p>
        </w:tc>
        <w:tc>
          <w:tcPr>
            <w:tcW w:w="1612" w:type="dxa"/>
            <w:vAlign w:val="center"/>
          </w:tcPr>
          <w:p w14:paraId="62A075F2">
            <w:pPr>
              <w:jc w:val="center"/>
            </w:pPr>
          </w:p>
        </w:tc>
      </w:tr>
      <w:tr w14:paraId="378C7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6D438AF9">
            <w:pPr>
              <w:jc w:val="center"/>
            </w:pPr>
          </w:p>
        </w:tc>
        <w:tc>
          <w:tcPr>
            <w:tcW w:w="3967" w:type="dxa"/>
            <w:vAlign w:val="center"/>
          </w:tcPr>
          <w:p w14:paraId="3721A7FE">
            <w:pPr>
              <w:jc w:val="center"/>
              <w:rPr>
                <w:rFonts w:ascii="宋体" w:hAnsi="宋体"/>
              </w:rPr>
            </w:pPr>
          </w:p>
        </w:tc>
        <w:tc>
          <w:tcPr>
            <w:tcW w:w="1511" w:type="dxa"/>
            <w:vAlign w:val="center"/>
          </w:tcPr>
          <w:p w14:paraId="4E44E475">
            <w:pPr>
              <w:jc w:val="center"/>
            </w:pPr>
          </w:p>
        </w:tc>
        <w:tc>
          <w:tcPr>
            <w:tcW w:w="791" w:type="dxa"/>
            <w:vAlign w:val="center"/>
          </w:tcPr>
          <w:p w14:paraId="62879A70">
            <w:pPr>
              <w:jc w:val="center"/>
            </w:pPr>
          </w:p>
        </w:tc>
        <w:tc>
          <w:tcPr>
            <w:tcW w:w="1612" w:type="dxa"/>
            <w:vAlign w:val="center"/>
          </w:tcPr>
          <w:p w14:paraId="2886D6C5">
            <w:pPr>
              <w:jc w:val="center"/>
            </w:pPr>
          </w:p>
        </w:tc>
      </w:tr>
      <w:tr w14:paraId="5CAEC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07015BFC">
            <w:pPr>
              <w:jc w:val="center"/>
            </w:pPr>
          </w:p>
        </w:tc>
        <w:tc>
          <w:tcPr>
            <w:tcW w:w="3967" w:type="dxa"/>
            <w:vAlign w:val="center"/>
          </w:tcPr>
          <w:p w14:paraId="0778FCE4">
            <w:pPr>
              <w:jc w:val="center"/>
              <w:rPr>
                <w:rFonts w:ascii="宋体" w:hAnsi="宋体"/>
              </w:rPr>
            </w:pPr>
          </w:p>
        </w:tc>
        <w:tc>
          <w:tcPr>
            <w:tcW w:w="1511" w:type="dxa"/>
            <w:vAlign w:val="center"/>
          </w:tcPr>
          <w:p w14:paraId="4D2CA9B2">
            <w:pPr>
              <w:jc w:val="center"/>
            </w:pPr>
          </w:p>
        </w:tc>
        <w:tc>
          <w:tcPr>
            <w:tcW w:w="791" w:type="dxa"/>
            <w:vAlign w:val="center"/>
          </w:tcPr>
          <w:p w14:paraId="4A6AC72A">
            <w:pPr>
              <w:jc w:val="center"/>
            </w:pPr>
          </w:p>
        </w:tc>
        <w:tc>
          <w:tcPr>
            <w:tcW w:w="1612" w:type="dxa"/>
            <w:vAlign w:val="center"/>
          </w:tcPr>
          <w:p w14:paraId="1B5FC109">
            <w:pPr>
              <w:jc w:val="center"/>
            </w:pPr>
          </w:p>
        </w:tc>
      </w:tr>
      <w:tr w14:paraId="20933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050863B9">
            <w:pPr>
              <w:jc w:val="center"/>
            </w:pPr>
          </w:p>
        </w:tc>
        <w:tc>
          <w:tcPr>
            <w:tcW w:w="3967" w:type="dxa"/>
            <w:vAlign w:val="center"/>
          </w:tcPr>
          <w:p w14:paraId="60DDA6A2">
            <w:pPr>
              <w:jc w:val="center"/>
              <w:rPr>
                <w:rFonts w:ascii="宋体" w:hAnsi="宋体"/>
              </w:rPr>
            </w:pPr>
          </w:p>
        </w:tc>
        <w:tc>
          <w:tcPr>
            <w:tcW w:w="1511" w:type="dxa"/>
            <w:vAlign w:val="center"/>
          </w:tcPr>
          <w:p w14:paraId="3249869B">
            <w:pPr>
              <w:jc w:val="center"/>
            </w:pPr>
          </w:p>
        </w:tc>
        <w:tc>
          <w:tcPr>
            <w:tcW w:w="791" w:type="dxa"/>
            <w:vAlign w:val="center"/>
          </w:tcPr>
          <w:p w14:paraId="5CC77AF4">
            <w:pPr>
              <w:jc w:val="center"/>
            </w:pPr>
          </w:p>
        </w:tc>
        <w:tc>
          <w:tcPr>
            <w:tcW w:w="1612" w:type="dxa"/>
            <w:vAlign w:val="center"/>
          </w:tcPr>
          <w:p w14:paraId="2840D742">
            <w:pPr>
              <w:jc w:val="center"/>
            </w:pPr>
          </w:p>
        </w:tc>
      </w:tr>
      <w:tr w14:paraId="5D5CD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76C5863F">
            <w:pPr>
              <w:jc w:val="center"/>
            </w:pPr>
          </w:p>
        </w:tc>
        <w:tc>
          <w:tcPr>
            <w:tcW w:w="3967" w:type="dxa"/>
            <w:vAlign w:val="center"/>
          </w:tcPr>
          <w:p w14:paraId="4BE1DCD1">
            <w:pPr>
              <w:jc w:val="center"/>
              <w:rPr>
                <w:rFonts w:ascii="宋体" w:hAnsi="宋体"/>
              </w:rPr>
            </w:pPr>
          </w:p>
        </w:tc>
        <w:tc>
          <w:tcPr>
            <w:tcW w:w="1511" w:type="dxa"/>
            <w:vAlign w:val="center"/>
          </w:tcPr>
          <w:p w14:paraId="596BBF56">
            <w:pPr>
              <w:jc w:val="center"/>
            </w:pPr>
          </w:p>
        </w:tc>
        <w:tc>
          <w:tcPr>
            <w:tcW w:w="791" w:type="dxa"/>
            <w:vAlign w:val="center"/>
          </w:tcPr>
          <w:p w14:paraId="61EE4EBE">
            <w:pPr>
              <w:jc w:val="center"/>
            </w:pPr>
          </w:p>
        </w:tc>
        <w:tc>
          <w:tcPr>
            <w:tcW w:w="1612" w:type="dxa"/>
            <w:vAlign w:val="center"/>
          </w:tcPr>
          <w:p w14:paraId="2AC23327">
            <w:pPr>
              <w:jc w:val="center"/>
            </w:pPr>
          </w:p>
        </w:tc>
      </w:tr>
      <w:tr w14:paraId="0BC01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3C957615">
            <w:pPr>
              <w:jc w:val="center"/>
            </w:pPr>
          </w:p>
        </w:tc>
        <w:tc>
          <w:tcPr>
            <w:tcW w:w="3967" w:type="dxa"/>
            <w:vAlign w:val="center"/>
          </w:tcPr>
          <w:p w14:paraId="667A9E08">
            <w:pPr>
              <w:jc w:val="center"/>
              <w:rPr>
                <w:rFonts w:ascii="宋体" w:hAnsi="宋体"/>
              </w:rPr>
            </w:pPr>
          </w:p>
        </w:tc>
        <w:tc>
          <w:tcPr>
            <w:tcW w:w="1511" w:type="dxa"/>
            <w:vAlign w:val="center"/>
          </w:tcPr>
          <w:p w14:paraId="772471AA">
            <w:pPr>
              <w:jc w:val="center"/>
            </w:pPr>
          </w:p>
        </w:tc>
        <w:tc>
          <w:tcPr>
            <w:tcW w:w="791" w:type="dxa"/>
            <w:vAlign w:val="center"/>
          </w:tcPr>
          <w:p w14:paraId="12D90893">
            <w:pPr>
              <w:jc w:val="center"/>
            </w:pPr>
          </w:p>
        </w:tc>
        <w:tc>
          <w:tcPr>
            <w:tcW w:w="1612" w:type="dxa"/>
            <w:vAlign w:val="center"/>
          </w:tcPr>
          <w:p w14:paraId="580E90BF">
            <w:pPr>
              <w:jc w:val="center"/>
            </w:pPr>
          </w:p>
        </w:tc>
      </w:tr>
      <w:tr w14:paraId="2F26A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1AB8B97B">
            <w:pPr>
              <w:jc w:val="center"/>
            </w:pPr>
          </w:p>
        </w:tc>
        <w:tc>
          <w:tcPr>
            <w:tcW w:w="3967" w:type="dxa"/>
            <w:vAlign w:val="center"/>
          </w:tcPr>
          <w:p w14:paraId="3C7C2262">
            <w:pPr>
              <w:jc w:val="center"/>
              <w:rPr>
                <w:rFonts w:ascii="宋体" w:hAnsi="宋体"/>
              </w:rPr>
            </w:pPr>
          </w:p>
        </w:tc>
        <w:tc>
          <w:tcPr>
            <w:tcW w:w="1511" w:type="dxa"/>
            <w:vAlign w:val="center"/>
          </w:tcPr>
          <w:p w14:paraId="4F29E07E">
            <w:pPr>
              <w:jc w:val="center"/>
            </w:pPr>
          </w:p>
        </w:tc>
        <w:tc>
          <w:tcPr>
            <w:tcW w:w="791" w:type="dxa"/>
            <w:vAlign w:val="center"/>
          </w:tcPr>
          <w:p w14:paraId="2283484B">
            <w:pPr>
              <w:jc w:val="center"/>
            </w:pPr>
          </w:p>
        </w:tc>
        <w:tc>
          <w:tcPr>
            <w:tcW w:w="1612" w:type="dxa"/>
            <w:vAlign w:val="center"/>
          </w:tcPr>
          <w:p w14:paraId="7484A292">
            <w:pPr>
              <w:jc w:val="center"/>
            </w:pPr>
          </w:p>
        </w:tc>
      </w:tr>
      <w:tr w14:paraId="345F8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3D83F0D7">
            <w:pPr>
              <w:jc w:val="center"/>
            </w:pPr>
          </w:p>
        </w:tc>
        <w:tc>
          <w:tcPr>
            <w:tcW w:w="3967" w:type="dxa"/>
            <w:vAlign w:val="center"/>
          </w:tcPr>
          <w:p w14:paraId="6EEF3913">
            <w:pPr>
              <w:jc w:val="center"/>
            </w:pPr>
          </w:p>
        </w:tc>
        <w:tc>
          <w:tcPr>
            <w:tcW w:w="1511" w:type="dxa"/>
            <w:vAlign w:val="center"/>
          </w:tcPr>
          <w:p w14:paraId="0D9A91C7">
            <w:pPr>
              <w:jc w:val="center"/>
            </w:pPr>
          </w:p>
        </w:tc>
        <w:tc>
          <w:tcPr>
            <w:tcW w:w="791" w:type="dxa"/>
            <w:vAlign w:val="center"/>
          </w:tcPr>
          <w:p w14:paraId="6276F95C">
            <w:pPr>
              <w:jc w:val="center"/>
            </w:pPr>
          </w:p>
        </w:tc>
        <w:tc>
          <w:tcPr>
            <w:tcW w:w="1612" w:type="dxa"/>
            <w:vAlign w:val="center"/>
          </w:tcPr>
          <w:p w14:paraId="183A1F1C">
            <w:pPr>
              <w:jc w:val="center"/>
            </w:pPr>
          </w:p>
        </w:tc>
      </w:tr>
      <w:tr w14:paraId="4196F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5DE77876">
            <w:pPr>
              <w:jc w:val="center"/>
            </w:pPr>
          </w:p>
        </w:tc>
        <w:tc>
          <w:tcPr>
            <w:tcW w:w="3967" w:type="dxa"/>
            <w:vAlign w:val="center"/>
          </w:tcPr>
          <w:p w14:paraId="031A80E0">
            <w:pPr>
              <w:jc w:val="center"/>
            </w:pPr>
          </w:p>
        </w:tc>
        <w:tc>
          <w:tcPr>
            <w:tcW w:w="1511" w:type="dxa"/>
            <w:vAlign w:val="center"/>
          </w:tcPr>
          <w:p w14:paraId="412505F3">
            <w:pPr>
              <w:jc w:val="center"/>
            </w:pPr>
          </w:p>
        </w:tc>
        <w:tc>
          <w:tcPr>
            <w:tcW w:w="791" w:type="dxa"/>
            <w:vAlign w:val="center"/>
          </w:tcPr>
          <w:p w14:paraId="1B9BCEFE">
            <w:pPr>
              <w:jc w:val="center"/>
            </w:pPr>
          </w:p>
        </w:tc>
        <w:tc>
          <w:tcPr>
            <w:tcW w:w="1612" w:type="dxa"/>
            <w:vAlign w:val="center"/>
          </w:tcPr>
          <w:p w14:paraId="4C1D69F4">
            <w:pPr>
              <w:jc w:val="center"/>
            </w:pPr>
          </w:p>
        </w:tc>
      </w:tr>
      <w:tr w14:paraId="1399C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5BB33E35">
            <w:pPr>
              <w:jc w:val="center"/>
            </w:pPr>
          </w:p>
          <w:p w14:paraId="695B9921">
            <w:pPr>
              <w:jc w:val="center"/>
            </w:pPr>
          </w:p>
        </w:tc>
        <w:tc>
          <w:tcPr>
            <w:tcW w:w="3967" w:type="dxa"/>
            <w:vAlign w:val="center"/>
          </w:tcPr>
          <w:p w14:paraId="29207386">
            <w:pPr>
              <w:jc w:val="center"/>
            </w:pPr>
          </w:p>
        </w:tc>
        <w:tc>
          <w:tcPr>
            <w:tcW w:w="1511" w:type="dxa"/>
            <w:vAlign w:val="center"/>
          </w:tcPr>
          <w:p w14:paraId="787EF50A">
            <w:pPr>
              <w:jc w:val="center"/>
            </w:pPr>
          </w:p>
        </w:tc>
        <w:tc>
          <w:tcPr>
            <w:tcW w:w="791" w:type="dxa"/>
            <w:vAlign w:val="center"/>
          </w:tcPr>
          <w:p w14:paraId="3275346A">
            <w:pPr>
              <w:jc w:val="center"/>
            </w:pPr>
          </w:p>
        </w:tc>
        <w:tc>
          <w:tcPr>
            <w:tcW w:w="1612" w:type="dxa"/>
            <w:vAlign w:val="center"/>
          </w:tcPr>
          <w:p w14:paraId="79201740">
            <w:pPr>
              <w:jc w:val="center"/>
            </w:pPr>
          </w:p>
        </w:tc>
      </w:tr>
      <w:tr w14:paraId="6D4C4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00DB513E">
            <w:pPr>
              <w:jc w:val="center"/>
            </w:pPr>
          </w:p>
        </w:tc>
        <w:tc>
          <w:tcPr>
            <w:tcW w:w="3967" w:type="dxa"/>
            <w:vAlign w:val="center"/>
          </w:tcPr>
          <w:p w14:paraId="3C75D579">
            <w:pPr>
              <w:jc w:val="center"/>
            </w:pPr>
          </w:p>
        </w:tc>
        <w:tc>
          <w:tcPr>
            <w:tcW w:w="1511" w:type="dxa"/>
            <w:vAlign w:val="center"/>
          </w:tcPr>
          <w:p w14:paraId="72136529">
            <w:pPr>
              <w:jc w:val="center"/>
            </w:pPr>
          </w:p>
        </w:tc>
        <w:tc>
          <w:tcPr>
            <w:tcW w:w="791" w:type="dxa"/>
            <w:vAlign w:val="center"/>
          </w:tcPr>
          <w:p w14:paraId="67FBBF5F">
            <w:pPr>
              <w:jc w:val="center"/>
            </w:pPr>
          </w:p>
        </w:tc>
        <w:tc>
          <w:tcPr>
            <w:tcW w:w="1612" w:type="dxa"/>
            <w:vAlign w:val="center"/>
          </w:tcPr>
          <w:p w14:paraId="4111F07D">
            <w:pPr>
              <w:jc w:val="center"/>
            </w:pPr>
          </w:p>
        </w:tc>
      </w:tr>
      <w:tr w14:paraId="04CB7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75ACD7FE">
            <w:pPr>
              <w:jc w:val="center"/>
            </w:pPr>
          </w:p>
          <w:p w14:paraId="7F905B2A">
            <w:pPr>
              <w:jc w:val="center"/>
            </w:pPr>
          </w:p>
        </w:tc>
        <w:tc>
          <w:tcPr>
            <w:tcW w:w="3967" w:type="dxa"/>
            <w:vAlign w:val="center"/>
          </w:tcPr>
          <w:p w14:paraId="31E412AE">
            <w:pPr>
              <w:jc w:val="center"/>
            </w:pPr>
          </w:p>
        </w:tc>
        <w:tc>
          <w:tcPr>
            <w:tcW w:w="1511" w:type="dxa"/>
            <w:vAlign w:val="center"/>
          </w:tcPr>
          <w:p w14:paraId="467899B8">
            <w:pPr>
              <w:jc w:val="center"/>
            </w:pPr>
          </w:p>
        </w:tc>
        <w:tc>
          <w:tcPr>
            <w:tcW w:w="791" w:type="dxa"/>
            <w:vAlign w:val="center"/>
          </w:tcPr>
          <w:p w14:paraId="4C2B0087">
            <w:pPr>
              <w:jc w:val="center"/>
            </w:pPr>
          </w:p>
        </w:tc>
        <w:tc>
          <w:tcPr>
            <w:tcW w:w="1612" w:type="dxa"/>
            <w:vAlign w:val="center"/>
          </w:tcPr>
          <w:p w14:paraId="255A9E7B">
            <w:pPr>
              <w:jc w:val="center"/>
            </w:pPr>
          </w:p>
        </w:tc>
      </w:tr>
      <w:tr w14:paraId="48353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10607F87">
            <w:pPr>
              <w:jc w:val="center"/>
            </w:pPr>
          </w:p>
        </w:tc>
        <w:tc>
          <w:tcPr>
            <w:tcW w:w="3967" w:type="dxa"/>
            <w:vAlign w:val="center"/>
          </w:tcPr>
          <w:p w14:paraId="46E27C9C">
            <w:pPr>
              <w:jc w:val="center"/>
            </w:pPr>
          </w:p>
        </w:tc>
        <w:tc>
          <w:tcPr>
            <w:tcW w:w="1511" w:type="dxa"/>
            <w:vAlign w:val="center"/>
          </w:tcPr>
          <w:p w14:paraId="258756AB">
            <w:pPr>
              <w:jc w:val="center"/>
            </w:pPr>
          </w:p>
        </w:tc>
        <w:tc>
          <w:tcPr>
            <w:tcW w:w="791" w:type="dxa"/>
            <w:vAlign w:val="center"/>
          </w:tcPr>
          <w:p w14:paraId="1A4A4C13">
            <w:pPr>
              <w:jc w:val="center"/>
            </w:pPr>
          </w:p>
        </w:tc>
        <w:tc>
          <w:tcPr>
            <w:tcW w:w="1612" w:type="dxa"/>
            <w:vAlign w:val="center"/>
          </w:tcPr>
          <w:p w14:paraId="081DB17C">
            <w:pPr>
              <w:jc w:val="center"/>
            </w:pPr>
          </w:p>
        </w:tc>
      </w:tr>
    </w:tbl>
    <w:p w14:paraId="3848940A">
      <w:pPr>
        <w:spacing w:line="480" w:lineRule="auto"/>
        <w:jc w:val="center"/>
        <w:rPr>
          <w:rFonts w:ascii="宋体" w:hAnsi="宋体"/>
          <w:b/>
          <w:sz w:val="48"/>
          <w:szCs w:val="48"/>
        </w:rPr>
      </w:pPr>
      <w:r>
        <w:rPr>
          <w:rFonts w:hint="eastAsia" w:ascii="宋体" w:hAnsi="宋体"/>
          <w:b/>
          <w:sz w:val="48"/>
          <w:szCs w:val="48"/>
        </w:rPr>
        <w:t>浙江华域高宇项目管理有限公司</w:t>
      </w:r>
    </w:p>
    <w:p w14:paraId="2B304EF9">
      <w:pPr>
        <w:spacing w:line="480" w:lineRule="auto"/>
        <w:jc w:val="center"/>
        <w:rPr>
          <w:szCs w:val="21"/>
        </w:rPr>
      </w:pPr>
      <w:r>
        <w:rPr>
          <w:rFonts w:ascii="宋体" w:hAnsi="宋体" w:cs="Courier New"/>
          <w:b/>
          <w:bCs/>
          <w:sz w:val="32"/>
          <w:szCs w:val="32"/>
        </w:rPr>
        <w:pict>
          <v:line id="_x0000_s1028" o:spid="_x0000_s1028" o:spt="20" style="position:absolute;left:0pt;margin-left:-15.25pt;margin-top:30.55pt;height:0pt;width:459pt;z-index:251660288;mso-width-relative:page;mso-height-relative:page;" stroked="t" coordsize="21600,21600" o:gfxdata="UEsDBAoAAAAAAIdO4kAAAAAAAAAAAAAAAAAEAAAAZHJzL1BLAwQUAAAACACHTuJAz76cdNUAAAAF&#10;AQAADwAAAGRycy9kb3ducmV2LnhtbE2PMWvDMBCF90L/g7hCt0R2Cq5xLWcwlHQohLgd2k2xLraJ&#10;dDKWErv/vpepXY57vOPd98rt4qy44hQGTwrSdQICqfVmoE7B58frKgcRoiajrSdU8IMBttX9XakL&#10;42c64LWJneAQCoVW0Mc4FlKGtkenw9qPSOyd/OR0ZDl10kx65nBn5SZJMun0QPyh1yPWPbbn5uIU&#10;fO13+/G9rjP/9r2bly5Lm8OzVerxIU1eQERc4t8x3PAZHSpmOvoLmSCsgtVTxl2iAp5s5/mGl+NN&#10;yqqU/+mrX1BLAwQUAAAACACHTuJAxJCBbtUBAACLAwAADgAAAGRycy9lMm9Eb2MueG1srVPNjtMw&#10;EL4j8Q6W7zTZVot2o6Z72FIuCCoBDzC1ncSS/+QxTfsSvAASNzhx5M7bsPsYjN1uF3YvCJHDZDye&#10;+Wa+L5P51c4atlURtXctP5vUnCknvNSub/n7d6tnF5xhAifBeKdavlfIrxZPn8zH0KipH7yRKjIC&#10;cdiMoeVDSqGpKhSDsoATH5Sjy85HC4mOsa9khJHQrammdf28Gn2UIXqhECm6PFzyRcHvOiXSm65D&#10;lZhpOc2Wio3FbrKtFnNo+ghh0OI4BvzDFBa0o6YnqCUkYB+ifgRltYgefZcmwtvKd50WqnAgNmf1&#10;AzZvBwiqcCFxMJxkwv8HK15v15Fp2fIZZw4sfaKbT99/fvxy++Mz2ZtvX9ksizQGbCj32q3j8YRh&#10;HTPjXRdtfhMXtivC7k/Cql1igoLnF9PLWU36i7u76r4wREwvlbcsOy032mXO0MD2FSZqRql3KTls&#10;HBtp0y7r84wHtDOdgUSuDcQCXV+K0RstV9qYXIKx31ybyLZAW7Ba1fRkTgT8R1rusgQcDnnl6rAf&#10;gwL5wkmW9oH0cbTIPM9gleTMKNr77BEgNAm0+ZtMam0cTZBlPQiZvY2X+6JvidMXLzMetzOv1O/n&#10;Un3/Dy1+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M++nHTVAAAABQEAAA8AAAAAAAAAAQAgAAAA&#10;IgAAAGRycy9kb3ducmV2LnhtbFBLAQIUABQAAAAIAIdO4kDEkIFu1QEAAIsDAAAOAAAAAAAAAAEA&#10;IAAAACQBAABkcnMvZTJvRG9jLnhtbFBLBQYAAAAABgAGAFkBAABrBQAAAAA=&#10;">
            <v:path arrowok="t"/>
            <v:fill focussize="0,0"/>
            <v:stroke weight="1.5pt" color="#FF0000"/>
            <v:imagedata o:title=""/>
            <o:lock v:ext="edit"/>
          </v:line>
        </w:pict>
      </w:r>
      <w:r>
        <w:rPr>
          <w:rFonts w:hint="eastAsia"/>
          <w:szCs w:val="21"/>
        </w:rPr>
        <w:t>浙高宇</w:t>
      </w:r>
      <w:r>
        <w:rPr>
          <w:rFonts w:hint="eastAsia" w:hAnsi="宋体"/>
        </w:rPr>
        <w:t>清单</w:t>
      </w:r>
      <w:r>
        <w:rPr>
          <w:rFonts w:hint="eastAsia"/>
          <w:szCs w:val="21"/>
        </w:rPr>
        <w:t>（20</w:t>
      </w:r>
      <w:r>
        <w:rPr>
          <w:rFonts w:hint="eastAsia"/>
          <w:szCs w:val="21"/>
          <w:lang w:val="en-US" w:eastAsia="zh-CN"/>
        </w:rPr>
        <w:t>25</w:t>
      </w:r>
      <w:r>
        <w:rPr>
          <w:rFonts w:hint="eastAsia"/>
          <w:szCs w:val="21"/>
        </w:rPr>
        <w:t>）第</w:t>
      </w:r>
      <w:r>
        <w:rPr>
          <w:rFonts w:hint="eastAsia"/>
          <w:szCs w:val="21"/>
          <w:lang w:val="en-US" w:eastAsia="zh-CN"/>
        </w:rPr>
        <w:t>139</w:t>
      </w:r>
      <w:r>
        <w:rPr>
          <w:rFonts w:hint="eastAsia"/>
          <w:szCs w:val="21"/>
        </w:rPr>
        <w:t xml:space="preserve">号 </w:t>
      </w:r>
    </w:p>
    <w:p w14:paraId="0096E7C0">
      <w:pPr>
        <w:jc w:val="center"/>
        <w:rPr>
          <w:rFonts w:hint="eastAsia" w:eastAsiaTheme="minorEastAsia"/>
          <w:b/>
          <w:sz w:val="28"/>
          <w:szCs w:val="28"/>
          <w:lang w:eastAsia="zh-CN"/>
        </w:rPr>
      </w:pPr>
      <w:r>
        <w:rPr>
          <w:rFonts w:hint="eastAsia" w:ascii="宋体" w:hAnsi="宋体" w:cs="Courier New"/>
          <w:b/>
          <w:bCs/>
          <w:sz w:val="32"/>
          <w:szCs w:val="32"/>
        </w:rPr>
        <w:t>关于</w:t>
      </w:r>
      <w:r>
        <w:rPr>
          <w:rFonts w:hint="eastAsia" w:ascii="宋体" w:hAnsi="宋体" w:cs="Courier New"/>
          <w:b/>
          <w:bCs/>
          <w:sz w:val="32"/>
          <w:szCs w:val="32"/>
          <w:lang w:eastAsia="zh-CN"/>
        </w:rPr>
        <w:t>武林幼儿园维修改造工程</w:t>
      </w:r>
    </w:p>
    <w:p w14:paraId="7BA033C7">
      <w:pPr>
        <w:spacing w:line="480" w:lineRule="auto"/>
        <w:jc w:val="center"/>
        <w:rPr>
          <w:rFonts w:eastAsia="宋体"/>
          <w:b/>
          <w:sz w:val="28"/>
          <w:szCs w:val="28"/>
        </w:rPr>
      </w:pPr>
      <w:r>
        <w:rPr>
          <w:rFonts w:hint="eastAsia"/>
          <w:b/>
          <w:sz w:val="28"/>
          <w:szCs w:val="28"/>
        </w:rPr>
        <w:t>工程量清单编制报告</w:t>
      </w:r>
    </w:p>
    <w:p w14:paraId="1006BC96">
      <w:pPr>
        <w:keepNext w:val="0"/>
        <w:keepLines w:val="0"/>
        <w:pageBreakBefore w:val="0"/>
        <w:widowControl w:val="0"/>
        <w:kinsoku/>
        <w:wordWrap/>
        <w:overflowPunct/>
        <w:topLinePunct w:val="0"/>
        <w:autoSpaceDE/>
        <w:autoSpaceDN/>
        <w:bidi w:val="0"/>
        <w:spacing w:line="360" w:lineRule="auto"/>
        <w:ind w:left="0" w:leftChars="0"/>
        <w:jc w:val="left"/>
        <w:textAlignment w:val="auto"/>
        <w:rPr>
          <w:rFonts w:hint="eastAsia" w:hAnsi="宋体"/>
          <w:b/>
          <w:sz w:val="24"/>
          <w:szCs w:val="24"/>
        </w:rPr>
      </w:pPr>
      <w:r>
        <w:rPr>
          <w:rFonts w:hint="eastAsia" w:ascii="宋体" w:hAnsi="宋体"/>
          <w:b/>
          <w:sz w:val="24"/>
          <w:lang w:val="en-US" w:eastAsia="zh-CN"/>
        </w:rPr>
        <w:t>杭州市拱墅区武林幼儿园</w:t>
      </w:r>
      <w:r>
        <w:rPr>
          <w:rFonts w:hint="eastAsia" w:ascii="宋体" w:hAnsi="宋体"/>
          <w:b/>
          <w:sz w:val="24"/>
          <w:szCs w:val="24"/>
        </w:rPr>
        <w:t>：</w:t>
      </w:r>
    </w:p>
    <w:p w14:paraId="0BC92C3E">
      <w:pPr>
        <w:keepNext w:val="0"/>
        <w:keepLines w:val="0"/>
        <w:pageBreakBefore w:val="0"/>
        <w:tabs>
          <w:tab w:val="left" w:pos="640"/>
        </w:tabs>
        <w:kinsoku/>
        <w:wordWrap/>
        <w:overflowPunct/>
        <w:topLinePunct w:val="0"/>
        <w:bidi w:val="0"/>
        <w:spacing w:line="480" w:lineRule="auto"/>
        <w:ind w:left="479" w:leftChars="228" w:firstLine="480" w:firstLineChars="200"/>
        <w:textAlignment w:val="auto"/>
        <w:rPr>
          <w:rFonts w:ascii="宋体" w:hAnsi="宋体"/>
          <w:sz w:val="24"/>
        </w:rPr>
      </w:pPr>
      <w:r>
        <w:rPr>
          <w:rFonts w:hint="eastAsia" w:ascii="宋体" w:hAnsi="宋体"/>
          <w:sz w:val="24"/>
        </w:rPr>
        <w:t>受贵单位的委托，我公司对本工程进行了招标工程量清单编制，现将该工程编制有关情况结果报告如下：</w:t>
      </w:r>
    </w:p>
    <w:p w14:paraId="5E4BECFB">
      <w:pPr>
        <w:keepNext w:val="0"/>
        <w:keepLines w:val="0"/>
        <w:pageBreakBefore w:val="0"/>
        <w:numPr>
          <w:ilvl w:val="0"/>
          <w:numId w:val="1"/>
        </w:numPr>
        <w:kinsoku/>
        <w:wordWrap/>
        <w:overflowPunct/>
        <w:topLinePunct w:val="0"/>
        <w:bidi w:val="0"/>
        <w:adjustRightInd w:val="0"/>
        <w:snapToGrid w:val="0"/>
        <w:spacing w:line="480" w:lineRule="auto"/>
        <w:textAlignment w:val="auto"/>
        <w:rPr>
          <w:b/>
          <w:sz w:val="24"/>
        </w:rPr>
      </w:pPr>
      <w:r>
        <w:rPr>
          <w:rFonts w:hint="eastAsia"/>
          <w:b/>
          <w:sz w:val="24"/>
        </w:rPr>
        <w:t>工程概况</w:t>
      </w:r>
    </w:p>
    <w:p w14:paraId="2966D994">
      <w:pPr>
        <w:keepNext w:val="0"/>
        <w:keepLines w:val="0"/>
        <w:pageBreakBefore w:val="0"/>
        <w:tabs>
          <w:tab w:val="left" w:pos="640"/>
        </w:tabs>
        <w:kinsoku/>
        <w:wordWrap/>
        <w:overflowPunct/>
        <w:topLinePunct w:val="0"/>
        <w:bidi w:val="0"/>
        <w:spacing w:line="480" w:lineRule="auto"/>
        <w:ind w:left="479" w:leftChars="228" w:firstLine="480" w:firstLineChars="200"/>
        <w:textAlignment w:val="auto"/>
        <w:rPr>
          <w:rFonts w:hint="default" w:ascii="宋体" w:hAnsi="宋体"/>
          <w:sz w:val="24"/>
          <w:lang w:val="en-US" w:eastAsia="zh-CN"/>
        </w:rPr>
      </w:pPr>
      <w:r>
        <w:rPr>
          <w:rFonts w:hint="eastAsia" w:ascii="宋体" w:hAnsi="宋体"/>
          <w:sz w:val="24"/>
          <w:lang w:eastAsia="zh-CN"/>
        </w:rPr>
        <w:t>1、建设单位：</w:t>
      </w:r>
      <w:r>
        <w:rPr>
          <w:rFonts w:hint="eastAsia" w:ascii="宋体" w:hAnsi="宋体"/>
          <w:sz w:val="24"/>
          <w:lang w:val="en-US" w:eastAsia="zh-CN"/>
        </w:rPr>
        <w:t>杭州市拱墅区武林幼儿园</w:t>
      </w:r>
    </w:p>
    <w:p w14:paraId="1D8AD2D6">
      <w:pPr>
        <w:keepNext w:val="0"/>
        <w:keepLines w:val="0"/>
        <w:pageBreakBefore w:val="0"/>
        <w:tabs>
          <w:tab w:val="left" w:pos="640"/>
        </w:tabs>
        <w:kinsoku/>
        <w:wordWrap/>
        <w:overflowPunct/>
        <w:topLinePunct w:val="0"/>
        <w:bidi w:val="0"/>
        <w:spacing w:line="480" w:lineRule="auto"/>
        <w:ind w:left="479" w:leftChars="228" w:firstLine="480" w:firstLineChars="200"/>
        <w:textAlignment w:val="auto"/>
        <w:rPr>
          <w:rFonts w:hint="eastAsia" w:ascii="宋体" w:hAnsi="宋体"/>
          <w:sz w:val="24"/>
          <w:lang w:eastAsia="zh-CN"/>
        </w:rPr>
      </w:pPr>
      <w:r>
        <w:rPr>
          <w:rFonts w:hint="eastAsia" w:ascii="宋体" w:hAnsi="宋体"/>
          <w:sz w:val="24"/>
          <w:lang w:eastAsia="zh-CN"/>
        </w:rPr>
        <w:t>2、工程名称：</w:t>
      </w:r>
      <w:r>
        <w:rPr>
          <w:rFonts w:hint="eastAsia" w:ascii="宋体" w:hAnsi="宋体"/>
          <w:sz w:val="24"/>
          <w:u w:val="none"/>
          <w:lang w:val="en-US" w:eastAsia="zh-CN"/>
        </w:rPr>
        <w:t>武林幼儿园维修改造工程</w:t>
      </w:r>
    </w:p>
    <w:p w14:paraId="11042340">
      <w:pPr>
        <w:keepNext w:val="0"/>
        <w:keepLines w:val="0"/>
        <w:pageBreakBefore w:val="0"/>
        <w:tabs>
          <w:tab w:val="left" w:pos="640"/>
        </w:tabs>
        <w:kinsoku/>
        <w:wordWrap/>
        <w:overflowPunct/>
        <w:topLinePunct w:val="0"/>
        <w:bidi w:val="0"/>
        <w:spacing w:line="480" w:lineRule="auto"/>
        <w:ind w:left="479" w:leftChars="228" w:firstLine="480" w:firstLineChars="200"/>
        <w:textAlignment w:val="auto"/>
        <w:rPr>
          <w:rFonts w:hint="eastAsia" w:ascii="宋体" w:hAnsi="宋体"/>
          <w:sz w:val="24"/>
        </w:rPr>
      </w:pPr>
      <w:r>
        <w:rPr>
          <w:rFonts w:hint="eastAsia" w:ascii="宋体" w:hAnsi="宋体"/>
          <w:sz w:val="24"/>
          <w:lang w:eastAsia="zh-CN"/>
        </w:rPr>
        <w:t>3、项目地址：本工程位于</w:t>
      </w:r>
      <w:r>
        <w:rPr>
          <w:rFonts w:hint="eastAsia" w:ascii="宋体" w:hAnsi="宋体"/>
          <w:sz w:val="24"/>
          <w:lang w:val="en-US" w:eastAsia="zh-CN"/>
        </w:rPr>
        <w:t>拱墅区附近</w:t>
      </w:r>
      <w:r>
        <w:rPr>
          <w:rFonts w:hint="eastAsia" w:ascii="宋体" w:hAnsi="宋体"/>
          <w:sz w:val="24"/>
        </w:rPr>
        <w:t>。</w:t>
      </w:r>
    </w:p>
    <w:p w14:paraId="63382006">
      <w:pPr>
        <w:keepNext w:val="0"/>
        <w:keepLines w:val="0"/>
        <w:pageBreakBefore w:val="0"/>
        <w:numPr>
          <w:ilvl w:val="0"/>
          <w:numId w:val="2"/>
        </w:numPr>
        <w:kinsoku/>
        <w:wordWrap/>
        <w:overflowPunct/>
        <w:topLinePunct w:val="0"/>
        <w:bidi w:val="0"/>
        <w:adjustRightInd w:val="0"/>
        <w:snapToGrid w:val="0"/>
        <w:spacing w:line="480" w:lineRule="auto"/>
        <w:textAlignment w:val="auto"/>
        <w:rPr>
          <w:b/>
          <w:sz w:val="24"/>
        </w:rPr>
      </w:pPr>
      <w:r>
        <w:rPr>
          <w:rFonts w:hint="eastAsia" w:ascii="宋体" w:hAnsi="宋体"/>
          <w:b/>
          <w:sz w:val="24"/>
        </w:rPr>
        <w:t>招标范围</w:t>
      </w:r>
      <w:r>
        <w:rPr>
          <w:rFonts w:hint="eastAsia" w:ascii="宋体" w:hAnsi="宋体"/>
          <w:sz w:val="24"/>
        </w:rPr>
        <w:t>：</w:t>
      </w:r>
    </w:p>
    <w:p w14:paraId="40E169F6">
      <w:pPr>
        <w:keepNext w:val="0"/>
        <w:keepLines w:val="0"/>
        <w:pageBreakBefore w:val="0"/>
        <w:kinsoku/>
        <w:wordWrap/>
        <w:overflowPunct/>
        <w:topLinePunct w:val="0"/>
        <w:bidi w:val="0"/>
        <w:spacing w:line="480" w:lineRule="auto"/>
        <w:ind w:left="636" w:leftChars="303" w:firstLine="480" w:firstLineChars="200"/>
        <w:textAlignment w:val="auto"/>
        <w:rPr>
          <w:rFonts w:hint="eastAsia" w:ascii="宋体" w:hAnsi="宋体"/>
          <w:sz w:val="24"/>
          <w:lang w:eastAsia="zh-CN"/>
        </w:rPr>
      </w:pPr>
      <w:r>
        <w:rPr>
          <w:rFonts w:hint="eastAsia" w:asciiTheme="minorEastAsia" w:hAnsiTheme="minorEastAsia" w:eastAsiaTheme="minorEastAsia" w:cstheme="minorEastAsia"/>
          <w:sz w:val="24"/>
          <w:szCs w:val="24"/>
        </w:rPr>
        <w:t>本次招标控制价</w:t>
      </w:r>
      <w:r>
        <w:rPr>
          <w:rFonts w:hint="eastAsia" w:asciiTheme="minorEastAsia" w:hAnsiTheme="minorEastAsia" w:cstheme="minorEastAsia"/>
          <w:sz w:val="24"/>
          <w:szCs w:val="24"/>
          <w:lang w:val="en-US" w:eastAsia="zh-CN"/>
        </w:rPr>
        <w:t>审核</w:t>
      </w:r>
      <w:r>
        <w:rPr>
          <w:rFonts w:hint="eastAsia" w:asciiTheme="minorEastAsia" w:hAnsiTheme="minorEastAsia" w:eastAsiaTheme="minorEastAsia" w:cstheme="minorEastAsia"/>
          <w:sz w:val="24"/>
          <w:szCs w:val="24"/>
        </w:rPr>
        <w:t>范围包括</w:t>
      </w:r>
      <w:r>
        <w:rPr>
          <w:rFonts w:hint="eastAsia" w:asciiTheme="minorEastAsia" w:hAnsiTheme="minorEastAsia" w:cstheme="minorEastAsia"/>
          <w:sz w:val="24"/>
          <w:szCs w:val="24"/>
          <w:lang w:val="en-US" w:eastAsia="zh-CN"/>
        </w:rPr>
        <w:t>房建</w:t>
      </w:r>
      <w:r>
        <w:rPr>
          <w:rFonts w:hint="eastAsia" w:asciiTheme="minorEastAsia" w:hAnsiTheme="minorEastAsia" w:eastAsiaTheme="minorEastAsia" w:cstheme="minorEastAsia"/>
          <w:sz w:val="24"/>
          <w:szCs w:val="24"/>
        </w:rPr>
        <w:t>工程等，详见施工图纸。</w:t>
      </w:r>
    </w:p>
    <w:p w14:paraId="0C208E67">
      <w:pPr>
        <w:keepNext w:val="0"/>
        <w:keepLines w:val="0"/>
        <w:pageBreakBefore w:val="0"/>
        <w:numPr>
          <w:ilvl w:val="0"/>
          <w:numId w:val="2"/>
        </w:numPr>
        <w:kinsoku/>
        <w:wordWrap/>
        <w:overflowPunct/>
        <w:topLinePunct w:val="0"/>
        <w:bidi w:val="0"/>
        <w:adjustRightInd w:val="0"/>
        <w:snapToGrid w:val="0"/>
        <w:spacing w:line="480" w:lineRule="auto"/>
        <w:textAlignment w:val="auto"/>
        <w:rPr>
          <w:b/>
          <w:sz w:val="24"/>
        </w:rPr>
      </w:pPr>
      <w:r>
        <w:rPr>
          <w:rFonts w:hint="eastAsia"/>
          <w:b/>
          <w:sz w:val="24"/>
        </w:rPr>
        <w:t>编制依据</w:t>
      </w:r>
    </w:p>
    <w:p w14:paraId="44D874A5">
      <w:pPr>
        <w:keepNext w:val="0"/>
        <w:keepLines w:val="0"/>
        <w:pageBreakBefore w:val="0"/>
        <w:widowControl/>
        <w:numPr>
          <w:ilvl w:val="0"/>
          <w:numId w:val="3"/>
        </w:numPr>
        <w:kinsoku/>
        <w:wordWrap/>
        <w:overflowPunct/>
        <w:topLinePunct w:val="0"/>
        <w:bidi w:val="0"/>
        <w:spacing w:line="480" w:lineRule="auto"/>
        <w:ind w:left="840" w:leftChars="200" w:hanging="420" w:hangingChars="175"/>
        <w:jc w:val="left"/>
        <w:textAlignment w:val="auto"/>
        <w:rPr>
          <w:rFonts w:hint="eastAsia" w:ascii="宋体" w:hAnsi="宋体"/>
          <w:sz w:val="24"/>
        </w:rPr>
      </w:pPr>
      <w:r>
        <w:rPr>
          <w:rFonts w:hint="eastAsia" w:ascii="宋体" w:hAnsi="宋体"/>
          <w:sz w:val="24"/>
        </w:rPr>
        <w:t>《建设工程工程量清单计价规范》（GB50500-2013）、《建设工程工程量计算规范（2013）浙江省补充规定》浙建站计﹝2013﹞63号、《关于印发建设工程工程量清单计算规范2013浙江省补充规定二的通知》（浙建站计[2014]31号）、《杭州市建设工程工程量清单计价实施细则》（2018年修订）、《浙江省建设工程计价规则》(2018版)、《关于增值税调整后我省建设工程计价依据增值税税率及有关计价调整的通知》（浙建建发[2019]92号）、《关于颁发浙江省建设工程计价依据（2018版）的通知》（浙建建发[2018]61号）</w:t>
      </w:r>
      <w:r>
        <w:rPr>
          <w:rFonts w:hint="eastAsia" w:ascii="宋体" w:hAnsi="宋体"/>
          <w:sz w:val="24"/>
          <w:lang w:eastAsia="zh-CN"/>
        </w:rPr>
        <w:t>、</w:t>
      </w:r>
      <w:r>
        <w:rPr>
          <w:rFonts w:hint="eastAsia" w:ascii="宋体" w:hAnsi="宋体"/>
          <w:sz w:val="24"/>
        </w:rPr>
        <w:t>《</w:t>
      </w:r>
      <w:r>
        <w:rPr>
          <w:rFonts w:hint="eastAsia" w:ascii="宋体" w:hAnsi="宋体"/>
          <w:sz w:val="24"/>
          <w:lang w:val="en-US" w:eastAsia="zh-CN"/>
        </w:rPr>
        <w:t>省建设厅关于调整建筑工程安全文明施工费的通知</w:t>
      </w:r>
      <w:r>
        <w:rPr>
          <w:rFonts w:hint="eastAsia" w:ascii="宋体" w:hAnsi="宋体"/>
          <w:sz w:val="24"/>
        </w:rPr>
        <w:t>》（浙建建发[20</w:t>
      </w:r>
      <w:r>
        <w:rPr>
          <w:rFonts w:hint="eastAsia" w:ascii="宋体" w:hAnsi="宋体"/>
          <w:sz w:val="24"/>
          <w:lang w:val="en-US" w:eastAsia="zh-CN"/>
        </w:rPr>
        <w:t>22</w:t>
      </w:r>
      <w:r>
        <w:rPr>
          <w:rFonts w:hint="eastAsia" w:ascii="宋体" w:hAnsi="宋体"/>
          <w:sz w:val="24"/>
        </w:rPr>
        <w:t>]</w:t>
      </w:r>
      <w:r>
        <w:rPr>
          <w:rFonts w:hint="eastAsia" w:ascii="宋体" w:hAnsi="宋体"/>
          <w:sz w:val="24"/>
          <w:lang w:val="en-US" w:eastAsia="zh-CN"/>
        </w:rPr>
        <w:t>37</w:t>
      </w:r>
      <w:r>
        <w:rPr>
          <w:rFonts w:hint="eastAsia" w:ascii="宋体" w:hAnsi="宋体"/>
          <w:sz w:val="24"/>
        </w:rPr>
        <w:t>号）等；</w:t>
      </w:r>
    </w:p>
    <w:p w14:paraId="13EEE3AC">
      <w:pPr>
        <w:keepNext w:val="0"/>
        <w:keepLines w:val="0"/>
        <w:pageBreakBefore w:val="0"/>
        <w:widowControl/>
        <w:numPr>
          <w:ilvl w:val="0"/>
          <w:numId w:val="3"/>
        </w:numPr>
        <w:kinsoku/>
        <w:wordWrap/>
        <w:overflowPunct/>
        <w:topLinePunct w:val="0"/>
        <w:bidi w:val="0"/>
        <w:spacing w:line="480" w:lineRule="auto"/>
        <w:ind w:left="840" w:leftChars="200" w:hanging="420" w:hangingChars="175"/>
        <w:jc w:val="left"/>
        <w:textAlignment w:val="auto"/>
        <w:rPr>
          <w:rFonts w:hint="eastAsia" w:ascii="宋体" w:hAnsi="宋体"/>
          <w:sz w:val="24"/>
        </w:rPr>
      </w:pPr>
      <w:r>
        <w:rPr>
          <w:rFonts w:hint="eastAsia" w:ascii="宋体" w:hAnsi="宋体"/>
          <w:sz w:val="24"/>
          <w:lang w:val="en-US" w:eastAsia="zh-CN"/>
        </w:rPr>
        <w:t>建设单位提供的设计</w:t>
      </w:r>
      <w:r>
        <w:rPr>
          <w:rFonts w:hint="eastAsia" w:asciiTheme="minorEastAsia" w:hAnsiTheme="minorEastAsia" w:eastAsiaTheme="minorEastAsia" w:cstheme="minorEastAsia"/>
          <w:color w:val="000000"/>
          <w:kern w:val="28"/>
          <w:sz w:val="24"/>
          <w:szCs w:val="24"/>
        </w:rPr>
        <w:t>图纸。</w:t>
      </w:r>
    </w:p>
    <w:p w14:paraId="038202A7">
      <w:pPr>
        <w:pStyle w:val="7"/>
        <w:keepNext w:val="0"/>
        <w:keepLines w:val="0"/>
        <w:widowControl/>
        <w:suppressLineNumbers w:val="0"/>
        <w:spacing w:before="0" w:beforeAutospacing="0" w:after="0" w:afterAutospacing="0"/>
        <w:ind w:left="0" w:right="0" w:firstLine="480" w:firstLineChars="200"/>
        <w:rPr>
          <w:rFonts w:hint="eastAsia" w:ascii="宋体" w:hAnsi="宋体"/>
          <w:color w:val="000000"/>
          <w:kern w:val="28"/>
          <w:sz w:val="24"/>
        </w:rPr>
      </w:pPr>
    </w:p>
    <w:p w14:paraId="3EA574E1">
      <w:pPr>
        <w:keepNext w:val="0"/>
        <w:keepLines w:val="0"/>
        <w:pageBreakBefore w:val="0"/>
        <w:numPr>
          <w:ilvl w:val="0"/>
          <w:numId w:val="2"/>
        </w:numPr>
        <w:kinsoku/>
        <w:wordWrap/>
        <w:overflowPunct/>
        <w:topLinePunct w:val="0"/>
        <w:bidi w:val="0"/>
        <w:adjustRightInd w:val="0"/>
        <w:snapToGrid w:val="0"/>
        <w:spacing w:line="480" w:lineRule="auto"/>
        <w:textAlignment w:val="auto"/>
        <w:rPr>
          <w:rFonts w:hint="eastAsia"/>
          <w:b/>
          <w:sz w:val="24"/>
        </w:rPr>
      </w:pPr>
      <w:r>
        <w:rPr>
          <w:rFonts w:hint="eastAsia"/>
          <w:b/>
          <w:sz w:val="24"/>
        </w:rPr>
        <w:t>取费标准：</w:t>
      </w:r>
    </w:p>
    <w:p w14:paraId="06ADC793">
      <w:pPr>
        <w:keepNext w:val="0"/>
        <w:keepLines w:val="0"/>
        <w:pageBreakBefore w:val="0"/>
        <w:widowControl/>
        <w:numPr>
          <w:ilvl w:val="0"/>
          <w:numId w:val="4"/>
        </w:numPr>
        <w:kinsoku/>
        <w:wordWrap/>
        <w:overflowPunct/>
        <w:topLinePunct w:val="0"/>
        <w:bidi w:val="0"/>
        <w:spacing w:line="480" w:lineRule="auto"/>
        <w:ind w:left="840" w:leftChars="200" w:hanging="420" w:hangingChars="175"/>
        <w:jc w:val="left"/>
        <w:textAlignment w:val="auto"/>
        <w:rPr>
          <w:rFonts w:hint="eastAsia" w:asciiTheme="minorEastAsia" w:hAnsiTheme="minorEastAsia" w:eastAsiaTheme="minorEastAsia" w:cstheme="minorEastAsia"/>
          <w:color w:val="000000"/>
          <w:kern w:val="28"/>
          <w:sz w:val="24"/>
          <w:szCs w:val="24"/>
          <w:lang w:val="en-US" w:eastAsia="zh-CN"/>
        </w:rPr>
      </w:pPr>
      <w:r>
        <w:rPr>
          <w:rFonts w:hint="eastAsia" w:ascii="宋体" w:hAnsi="宋体"/>
          <w:color w:val="000000"/>
          <w:kern w:val="28"/>
          <w:sz w:val="24"/>
        </w:rPr>
        <w:t>企业管理费报价不得低于弹性费率下限乘以20%的计算值，计算基数为“人工费+机械费”</w:t>
      </w:r>
      <w:r>
        <w:rPr>
          <w:rFonts w:hint="eastAsia" w:asciiTheme="minorEastAsia" w:hAnsiTheme="minorEastAsia" w:eastAsiaTheme="minorEastAsia" w:cstheme="minorEastAsia"/>
          <w:color w:val="000000"/>
          <w:kern w:val="28"/>
          <w:sz w:val="24"/>
          <w:szCs w:val="24"/>
        </w:rPr>
        <w:t>，</w:t>
      </w:r>
      <w:r>
        <w:rPr>
          <w:rFonts w:hint="eastAsia" w:asciiTheme="minorEastAsia" w:hAnsiTheme="minorEastAsia" w:cstheme="minorEastAsia"/>
          <w:color w:val="000000"/>
          <w:kern w:val="28"/>
          <w:sz w:val="24"/>
          <w:szCs w:val="24"/>
          <w:lang w:val="en-US" w:eastAsia="zh-CN"/>
        </w:rPr>
        <w:t>单独装饰</w:t>
      </w:r>
      <w:r>
        <w:rPr>
          <w:rFonts w:hint="eastAsia" w:asciiTheme="minorEastAsia" w:hAnsiTheme="minorEastAsia" w:eastAsiaTheme="minorEastAsia" w:cstheme="minorEastAsia"/>
          <w:color w:val="000000"/>
          <w:kern w:val="28"/>
          <w:sz w:val="24"/>
          <w:szCs w:val="24"/>
          <w:lang w:val="en-US" w:eastAsia="zh-CN"/>
        </w:rPr>
        <w:t>工程</w:t>
      </w:r>
      <w:r>
        <w:rPr>
          <w:rFonts w:hint="eastAsia" w:asciiTheme="minorEastAsia" w:hAnsiTheme="minorEastAsia" w:cstheme="minorEastAsia"/>
          <w:color w:val="000000"/>
          <w:kern w:val="28"/>
          <w:sz w:val="24"/>
          <w:szCs w:val="24"/>
          <w:lang w:val="en-US" w:eastAsia="zh-CN"/>
        </w:rPr>
        <w:t>2.28</w:t>
      </w:r>
      <w:r>
        <w:rPr>
          <w:rFonts w:hint="eastAsia" w:asciiTheme="minorEastAsia" w:hAnsiTheme="minorEastAsia" w:eastAsiaTheme="minorEastAsia" w:cstheme="minorEastAsia"/>
          <w:color w:val="000000"/>
          <w:kern w:val="28"/>
          <w:sz w:val="24"/>
          <w:szCs w:val="24"/>
          <w:lang w:val="en-US" w:eastAsia="zh-CN"/>
        </w:rPr>
        <w:t>%</w:t>
      </w:r>
      <w:r>
        <w:rPr>
          <w:rFonts w:hint="eastAsia" w:asciiTheme="minorEastAsia" w:hAnsiTheme="minorEastAsia" w:cstheme="minorEastAsia"/>
          <w:color w:val="000000"/>
          <w:kern w:val="28"/>
          <w:sz w:val="24"/>
          <w:szCs w:val="24"/>
          <w:lang w:val="en-US" w:eastAsia="zh-CN"/>
        </w:rPr>
        <w:t>、市政工程2.56%、安装工程3.258%，以上费用不含安责险，</w:t>
      </w:r>
      <w:r>
        <w:rPr>
          <w:rFonts w:hint="eastAsia" w:ascii="宋体" w:hAnsi="宋体" w:eastAsia="宋体" w:cs="Times New Roman"/>
          <w:bCs/>
          <w:sz w:val="24"/>
          <w:szCs w:val="24"/>
          <w:lang w:val="en-US" w:eastAsia="zh-CN"/>
        </w:rPr>
        <w:t>安责险费用请投标人自行考虑在投标报价中</w:t>
      </w:r>
      <w:r>
        <w:rPr>
          <w:rFonts w:hint="eastAsia" w:asciiTheme="minorEastAsia" w:hAnsiTheme="minorEastAsia" w:cstheme="minorEastAsia"/>
          <w:color w:val="000000"/>
          <w:kern w:val="28"/>
          <w:sz w:val="24"/>
          <w:szCs w:val="24"/>
          <w:lang w:val="en-US" w:eastAsia="zh-CN"/>
        </w:rPr>
        <w:t>。</w:t>
      </w:r>
    </w:p>
    <w:p w14:paraId="22CB7245">
      <w:pPr>
        <w:keepNext w:val="0"/>
        <w:keepLines w:val="0"/>
        <w:pageBreakBefore w:val="0"/>
        <w:widowControl/>
        <w:numPr>
          <w:ilvl w:val="0"/>
          <w:numId w:val="4"/>
        </w:numPr>
        <w:kinsoku/>
        <w:wordWrap/>
        <w:overflowPunct/>
        <w:topLinePunct w:val="0"/>
        <w:bidi w:val="0"/>
        <w:spacing w:line="480" w:lineRule="auto"/>
        <w:ind w:left="840" w:leftChars="200" w:hanging="420" w:hangingChars="175"/>
        <w:jc w:val="left"/>
        <w:textAlignment w:val="auto"/>
        <w:rPr>
          <w:rFonts w:hint="eastAsia" w:ascii="宋体" w:hAnsi="宋体"/>
          <w:color w:val="000000"/>
          <w:kern w:val="28"/>
          <w:sz w:val="24"/>
        </w:rPr>
      </w:pPr>
      <w:r>
        <w:rPr>
          <w:rFonts w:hint="eastAsia" w:ascii="宋体" w:hAnsi="宋体"/>
          <w:color w:val="000000"/>
          <w:kern w:val="28"/>
          <w:sz w:val="24"/>
        </w:rPr>
        <w:t>安全文明施工费，必须充分保证，安全文明施工措施费用报价不得低于省建设行政主管部门颁发的施工费用定额和相关取费计价文件规定的弹性费率下限的计算值</w:t>
      </w:r>
      <w:r>
        <w:rPr>
          <w:rFonts w:hint="eastAsia" w:asciiTheme="minorEastAsia" w:hAnsiTheme="minorEastAsia" w:eastAsiaTheme="minorEastAsia" w:cstheme="minorEastAsia"/>
          <w:color w:val="000000"/>
          <w:kern w:val="28"/>
          <w:sz w:val="24"/>
          <w:szCs w:val="24"/>
        </w:rPr>
        <w:t>，</w:t>
      </w:r>
      <w:r>
        <w:rPr>
          <w:rFonts w:hint="eastAsia" w:ascii="宋体" w:hAnsi="宋体"/>
          <w:color w:val="000000"/>
          <w:kern w:val="28"/>
          <w:sz w:val="24"/>
        </w:rPr>
        <w:t>按照《浙江省建设工程计价规则（2018版）规定的安全文明施工基本费费率乘以1.15系数</w:t>
      </w:r>
      <w:r>
        <w:rPr>
          <w:rFonts w:hint="eastAsia" w:ascii="宋体" w:hAnsi="宋体"/>
          <w:color w:val="000000"/>
          <w:kern w:val="28"/>
          <w:sz w:val="24"/>
          <w:lang w:eastAsia="zh-CN"/>
        </w:rPr>
        <w:t>，</w:t>
      </w:r>
      <w:r>
        <w:rPr>
          <w:rFonts w:hint="eastAsia" w:asciiTheme="minorEastAsia" w:hAnsiTheme="minorEastAsia" w:cstheme="minorEastAsia"/>
          <w:color w:val="000000"/>
          <w:kern w:val="28"/>
          <w:sz w:val="24"/>
          <w:szCs w:val="24"/>
          <w:lang w:val="en-US" w:eastAsia="zh-CN"/>
        </w:rPr>
        <w:t>单独装饰</w:t>
      </w:r>
      <w:r>
        <w:rPr>
          <w:rFonts w:hint="eastAsia" w:asciiTheme="minorEastAsia" w:hAnsiTheme="minorEastAsia" w:eastAsiaTheme="minorEastAsia" w:cstheme="minorEastAsia"/>
          <w:color w:val="000000"/>
          <w:kern w:val="28"/>
          <w:sz w:val="24"/>
          <w:szCs w:val="24"/>
          <w:lang w:val="en-US" w:eastAsia="zh-CN"/>
        </w:rPr>
        <w:t>工程</w:t>
      </w:r>
      <w:r>
        <w:rPr>
          <w:rFonts w:hint="eastAsia" w:asciiTheme="minorEastAsia" w:hAnsiTheme="minorEastAsia" w:cstheme="minorEastAsia"/>
          <w:color w:val="000000"/>
          <w:kern w:val="28"/>
          <w:sz w:val="24"/>
          <w:szCs w:val="24"/>
          <w:lang w:val="en-US" w:eastAsia="zh-CN"/>
        </w:rPr>
        <w:t>6.57</w:t>
      </w:r>
      <w:r>
        <w:rPr>
          <w:rFonts w:hint="eastAsia" w:asciiTheme="minorEastAsia" w:hAnsiTheme="minorEastAsia" w:eastAsiaTheme="minorEastAsia" w:cstheme="minorEastAsia"/>
          <w:color w:val="000000"/>
          <w:kern w:val="28"/>
          <w:sz w:val="24"/>
          <w:szCs w:val="24"/>
          <w:lang w:val="en-US" w:eastAsia="zh-CN"/>
        </w:rPr>
        <w:t>%</w:t>
      </w:r>
      <w:r>
        <w:rPr>
          <w:rFonts w:hint="eastAsia" w:asciiTheme="minorEastAsia" w:hAnsiTheme="minorEastAsia" w:cstheme="minorEastAsia"/>
          <w:color w:val="000000"/>
          <w:kern w:val="28"/>
          <w:sz w:val="24"/>
          <w:szCs w:val="24"/>
          <w:lang w:val="en-US" w:eastAsia="zh-CN"/>
        </w:rPr>
        <w:t>、市政工程9.79%、安装工程7.35%。</w:t>
      </w:r>
    </w:p>
    <w:p w14:paraId="34F810D6">
      <w:pPr>
        <w:keepNext w:val="0"/>
        <w:keepLines w:val="0"/>
        <w:pageBreakBefore w:val="0"/>
        <w:widowControl/>
        <w:numPr>
          <w:ilvl w:val="0"/>
          <w:numId w:val="4"/>
        </w:numPr>
        <w:kinsoku/>
        <w:wordWrap/>
        <w:overflowPunct/>
        <w:topLinePunct w:val="0"/>
        <w:bidi w:val="0"/>
        <w:spacing w:line="480" w:lineRule="auto"/>
        <w:ind w:left="840" w:leftChars="200" w:hanging="420" w:hangingChars="175"/>
        <w:jc w:val="left"/>
        <w:textAlignment w:val="auto"/>
        <w:rPr>
          <w:rFonts w:hint="eastAsia" w:ascii="宋体" w:hAnsi="宋体"/>
          <w:color w:val="000000"/>
          <w:kern w:val="28"/>
          <w:sz w:val="24"/>
        </w:rPr>
      </w:pPr>
      <w:r>
        <w:rPr>
          <w:rFonts w:hint="eastAsia" w:ascii="宋体" w:hAnsi="宋体"/>
          <w:color w:val="000000"/>
          <w:kern w:val="28"/>
          <w:sz w:val="24"/>
        </w:rPr>
        <w:t>规费根据《浙江省建设工程计价规则》(2018版)规定，由社会保险费（含养老保险费、失业保险费、医疗保险费、生育保险费、工伤保险费）和住房公积金组成。各专业工程取费基数均为“分部分项工程费和施工技术措施项目费”计价中的“人工费十机械费”之和</w:t>
      </w:r>
      <w:r>
        <w:rPr>
          <w:rFonts w:hint="eastAsia" w:ascii="宋体" w:hAnsi="宋体"/>
          <w:color w:val="000000"/>
          <w:kern w:val="28"/>
          <w:sz w:val="24"/>
          <w:lang w:val="en-US" w:eastAsia="zh-CN"/>
        </w:rPr>
        <w:t>不低于30%</w:t>
      </w:r>
      <w:r>
        <w:rPr>
          <w:rFonts w:hint="eastAsia" w:asciiTheme="minorEastAsia" w:hAnsiTheme="minorEastAsia" w:eastAsiaTheme="minorEastAsia" w:cstheme="minorEastAsia"/>
          <w:color w:val="000000"/>
          <w:kern w:val="28"/>
          <w:sz w:val="24"/>
          <w:szCs w:val="24"/>
        </w:rPr>
        <w:t>，</w:t>
      </w:r>
      <w:r>
        <w:rPr>
          <w:rFonts w:hint="eastAsia" w:asciiTheme="minorEastAsia" w:hAnsiTheme="minorEastAsia" w:cstheme="minorEastAsia"/>
          <w:color w:val="000000"/>
          <w:kern w:val="28"/>
          <w:sz w:val="24"/>
          <w:szCs w:val="24"/>
          <w:lang w:val="en-US" w:eastAsia="zh-CN"/>
        </w:rPr>
        <w:t>单独装饰</w:t>
      </w:r>
      <w:r>
        <w:rPr>
          <w:rFonts w:hint="eastAsia" w:asciiTheme="minorEastAsia" w:hAnsiTheme="minorEastAsia" w:eastAsiaTheme="minorEastAsia" w:cstheme="minorEastAsia"/>
          <w:color w:val="000000"/>
          <w:kern w:val="28"/>
          <w:sz w:val="24"/>
          <w:szCs w:val="24"/>
          <w:lang w:val="en-US" w:eastAsia="zh-CN"/>
        </w:rPr>
        <w:t>工程</w:t>
      </w:r>
      <w:r>
        <w:rPr>
          <w:rFonts w:hint="eastAsia" w:asciiTheme="minorEastAsia" w:hAnsiTheme="minorEastAsia" w:cstheme="minorEastAsia"/>
          <w:color w:val="000000"/>
          <w:kern w:val="28"/>
          <w:sz w:val="24"/>
          <w:szCs w:val="24"/>
          <w:lang w:val="en-US" w:eastAsia="zh-CN"/>
        </w:rPr>
        <w:t>8.38</w:t>
      </w:r>
      <w:r>
        <w:rPr>
          <w:rFonts w:hint="eastAsia" w:asciiTheme="minorEastAsia" w:hAnsiTheme="minorEastAsia" w:eastAsiaTheme="minorEastAsia" w:cstheme="minorEastAsia"/>
          <w:color w:val="000000"/>
          <w:kern w:val="28"/>
          <w:sz w:val="24"/>
          <w:szCs w:val="24"/>
          <w:lang w:val="en-US" w:eastAsia="zh-CN"/>
        </w:rPr>
        <w:t>%</w:t>
      </w:r>
      <w:r>
        <w:rPr>
          <w:rFonts w:hint="eastAsia" w:asciiTheme="minorEastAsia" w:hAnsiTheme="minorEastAsia" w:cstheme="minorEastAsia"/>
          <w:color w:val="000000"/>
          <w:kern w:val="28"/>
          <w:sz w:val="24"/>
          <w:szCs w:val="24"/>
          <w:lang w:val="en-US" w:eastAsia="zh-CN"/>
        </w:rPr>
        <w:t>、市政工程5.63%、安装工程9.19%。</w:t>
      </w:r>
      <w:r>
        <w:rPr>
          <w:rFonts w:hint="eastAsia" w:ascii="宋体" w:hAnsi="宋体"/>
          <w:color w:val="000000"/>
          <w:kern w:val="28"/>
          <w:sz w:val="24"/>
        </w:rPr>
        <w:t xml:space="preserve"> </w:t>
      </w:r>
    </w:p>
    <w:p w14:paraId="44319F91">
      <w:pPr>
        <w:keepNext w:val="0"/>
        <w:keepLines w:val="0"/>
        <w:pageBreakBefore w:val="0"/>
        <w:widowControl/>
        <w:numPr>
          <w:ilvl w:val="0"/>
          <w:numId w:val="4"/>
        </w:numPr>
        <w:kinsoku/>
        <w:wordWrap/>
        <w:overflowPunct/>
        <w:topLinePunct w:val="0"/>
        <w:bidi w:val="0"/>
        <w:spacing w:line="480" w:lineRule="auto"/>
        <w:ind w:left="840" w:leftChars="200" w:hanging="420" w:hangingChars="175"/>
        <w:jc w:val="left"/>
        <w:textAlignment w:val="auto"/>
        <w:rPr>
          <w:b/>
          <w:sz w:val="24"/>
        </w:rPr>
      </w:pPr>
      <w:r>
        <w:rPr>
          <w:rFonts w:hint="eastAsia" w:ascii="宋体" w:hAnsi="宋体"/>
          <w:color w:val="000000"/>
          <w:kern w:val="28"/>
          <w:sz w:val="24"/>
        </w:rPr>
        <w:t>税金，费率为9%；</w:t>
      </w:r>
    </w:p>
    <w:p w14:paraId="4F452E46">
      <w:pPr>
        <w:keepNext w:val="0"/>
        <w:keepLines w:val="0"/>
        <w:pageBreakBefore w:val="0"/>
        <w:widowControl/>
        <w:numPr>
          <w:ilvl w:val="0"/>
          <w:numId w:val="4"/>
        </w:numPr>
        <w:kinsoku/>
        <w:wordWrap/>
        <w:overflowPunct/>
        <w:topLinePunct w:val="0"/>
        <w:bidi w:val="0"/>
        <w:spacing w:line="480" w:lineRule="auto"/>
        <w:ind w:left="840" w:leftChars="200" w:hanging="420" w:hangingChars="175"/>
        <w:jc w:val="left"/>
        <w:textAlignment w:val="auto"/>
        <w:rPr>
          <w:b/>
          <w:sz w:val="24"/>
        </w:rPr>
      </w:pPr>
      <w:r>
        <w:rPr>
          <w:rFonts w:hint="eastAsia" w:ascii="宋体" w:hAnsi="宋体"/>
          <w:color w:val="000000"/>
          <w:kern w:val="28"/>
          <w:sz w:val="24"/>
        </w:rPr>
        <w:t>施工企业的现场监控、现场临时宿舍取暖降温费用，应根据市政府、市建设行政主管部门颁发的有关文件对于现场监控和现场民工宿舍空调的设置要求或标准规定落实相应费用的报价。</w:t>
      </w:r>
    </w:p>
    <w:p w14:paraId="7976A8FD">
      <w:pPr>
        <w:keepNext w:val="0"/>
        <w:keepLines w:val="0"/>
        <w:pageBreakBefore w:val="0"/>
        <w:numPr>
          <w:ilvl w:val="0"/>
          <w:numId w:val="2"/>
        </w:numPr>
        <w:kinsoku/>
        <w:wordWrap/>
        <w:overflowPunct/>
        <w:topLinePunct w:val="0"/>
        <w:bidi w:val="0"/>
        <w:adjustRightInd w:val="0"/>
        <w:snapToGrid w:val="0"/>
        <w:spacing w:line="480" w:lineRule="auto"/>
        <w:textAlignment w:val="auto"/>
        <w:rPr>
          <w:rFonts w:hint="eastAsia" w:ascii="宋体" w:hAnsi="宋体" w:eastAsiaTheme="minorEastAsia" w:cstheme="minorBidi"/>
          <w:kern w:val="2"/>
          <w:sz w:val="24"/>
          <w:szCs w:val="24"/>
          <w:lang w:val="en-US" w:eastAsia="zh-CN" w:bidi="ar-SA"/>
        </w:rPr>
      </w:pPr>
      <w:r>
        <w:rPr>
          <w:rFonts w:hint="eastAsia"/>
          <w:b/>
          <w:sz w:val="24"/>
        </w:rPr>
        <w:t>编制说明</w:t>
      </w:r>
    </w:p>
    <w:p w14:paraId="0FB5AA32">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384" w:lineRule="auto"/>
        <w:ind w:firstLine="440" w:firstLineChars="200"/>
        <w:textAlignment w:val="auto"/>
        <w:rPr>
          <w:rFonts w:hint="eastAsia" w:ascii="宋体" w:hAnsi="宋体" w:eastAsia="宋体" w:cs="Arial"/>
          <w:bCs/>
          <w:color w:val="auto"/>
          <w:highlight w:val="none"/>
          <w:lang w:val="en-US" w:eastAsia="zh-CN"/>
        </w:rPr>
      </w:pPr>
      <w:r>
        <w:rPr>
          <w:rFonts w:hint="eastAsia" w:ascii="宋体" w:hAnsi="宋体" w:eastAsia="宋体" w:cs="宋体"/>
          <w:sz w:val="22"/>
          <w:szCs w:val="28"/>
          <w:lang w:val="en-US" w:eastAsia="zh-CN"/>
        </w:rPr>
        <w:t>1.</w:t>
      </w:r>
      <w:r>
        <w:rPr>
          <w:rFonts w:hint="eastAsia" w:ascii="宋体" w:hAnsi="宋体" w:eastAsia="宋体" w:cs="Arial"/>
          <w:bCs/>
          <w:color w:val="auto"/>
          <w:highlight w:val="none"/>
          <w:lang w:val="en-US" w:eastAsia="zh-CN"/>
        </w:rPr>
        <w:t>经设计回复，每层砖砌高度为3.2m；</w:t>
      </w:r>
    </w:p>
    <w:p w14:paraId="1AD4742E">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384" w:lineRule="auto"/>
        <w:ind w:firstLine="420" w:firstLineChars="200"/>
        <w:textAlignment w:val="auto"/>
        <w:rPr>
          <w:rFonts w:hint="eastAsia" w:ascii="宋体" w:hAnsi="宋体" w:eastAsia="宋体" w:cs="Arial"/>
          <w:bCs/>
          <w:color w:val="auto"/>
          <w:highlight w:val="none"/>
          <w:lang w:val="en-US" w:eastAsia="zh-CN"/>
        </w:rPr>
      </w:pPr>
      <w:r>
        <w:rPr>
          <w:rFonts w:hint="eastAsia" w:ascii="宋体" w:hAnsi="宋体" w:eastAsia="宋体" w:cs="Arial"/>
          <w:bCs/>
          <w:color w:val="auto"/>
          <w:highlight w:val="none"/>
          <w:lang w:val="en-US" w:eastAsia="zh-CN"/>
        </w:rPr>
        <w:t>2、经设计回复，消防楼梯面层处做PC砖；</w:t>
      </w:r>
    </w:p>
    <w:p w14:paraId="5BF6BD1C">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384" w:lineRule="auto"/>
        <w:ind w:firstLine="420" w:firstLineChars="200"/>
        <w:textAlignment w:val="auto"/>
        <w:rPr>
          <w:rFonts w:hint="eastAsia" w:ascii="宋体" w:hAnsi="宋体" w:eastAsia="宋体" w:cs="Arial"/>
          <w:bCs/>
          <w:color w:val="auto"/>
          <w:highlight w:val="none"/>
          <w:lang w:val="en-US" w:eastAsia="zh-CN"/>
        </w:rPr>
      </w:pPr>
      <w:r>
        <w:rPr>
          <w:rFonts w:hint="eastAsia" w:ascii="宋体" w:hAnsi="宋体" w:eastAsia="宋体" w:cs="Arial"/>
          <w:bCs/>
          <w:color w:val="auto"/>
          <w:highlight w:val="none"/>
          <w:lang w:val="en-US" w:eastAsia="zh-CN"/>
        </w:rPr>
        <w:t>3、原有建筑饰面拆除，垃圾清理外运及消纳（含原有围墙、砖墙、墙饰面、地面、天棚、保安室上方水管、花坛、彩钢瓦屋面、原叠叠床、廊架、栏杆、护栏、防水层等一切与本项目相关的拆除费用）按项包干计入，今后不作调整；</w:t>
      </w:r>
    </w:p>
    <w:p w14:paraId="4A2E972A">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384" w:lineRule="auto"/>
        <w:ind w:firstLine="420" w:firstLineChars="200"/>
        <w:textAlignment w:val="auto"/>
        <w:rPr>
          <w:rFonts w:hint="eastAsia" w:ascii="宋体" w:hAnsi="宋体" w:eastAsia="宋体" w:cs="Arial"/>
          <w:bCs/>
          <w:color w:val="auto"/>
          <w:highlight w:val="none"/>
          <w:lang w:val="en-US" w:eastAsia="zh-CN"/>
        </w:rPr>
      </w:pPr>
      <w:r>
        <w:rPr>
          <w:rFonts w:hint="eastAsia" w:ascii="宋体" w:hAnsi="宋体" w:eastAsia="宋体" w:cs="Arial"/>
          <w:bCs/>
          <w:color w:val="auto"/>
          <w:highlight w:val="none"/>
          <w:lang w:val="en-US" w:eastAsia="zh-CN"/>
        </w:rPr>
        <w:t>4、经设计回复，5层顶板处需做1.5mm厚JS柔性防水涂料防水；</w:t>
      </w:r>
    </w:p>
    <w:p w14:paraId="4B8F6F24">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384" w:lineRule="auto"/>
        <w:ind w:firstLine="420" w:firstLineChars="200"/>
        <w:textAlignment w:val="auto"/>
        <w:rPr>
          <w:rFonts w:hint="eastAsia" w:ascii="宋体" w:hAnsi="宋体" w:eastAsia="宋体" w:cs="Arial"/>
          <w:bCs/>
          <w:color w:val="auto"/>
          <w:highlight w:val="none"/>
          <w:lang w:val="en-US" w:eastAsia="zh-CN"/>
        </w:rPr>
      </w:pPr>
      <w:r>
        <w:rPr>
          <w:rFonts w:hint="eastAsia" w:ascii="宋体" w:hAnsi="宋体" w:eastAsia="宋体" w:cs="Arial"/>
          <w:bCs/>
          <w:color w:val="auto"/>
          <w:highlight w:val="none"/>
          <w:lang w:val="en-US" w:eastAsia="zh-CN"/>
        </w:rPr>
        <w:t>5、经设计回复，台盆高度800深度450；</w:t>
      </w:r>
    </w:p>
    <w:p w14:paraId="435C561D">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384" w:lineRule="auto"/>
        <w:ind w:firstLine="420" w:firstLineChars="200"/>
        <w:textAlignment w:val="auto"/>
        <w:rPr>
          <w:rFonts w:hint="eastAsia" w:ascii="宋体" w:hAnsi="宋体" w:eastAsia="宋体" w:cs="Arial"/>
          <w:bCs/>
          <w:color w:val="auto"/>
          <w:highlight w:val="none"/>
          <w:lang w:val="en-US" w:eastAsia="zh-CN"/>
        </w:rPr>
      </w:pPr>
      <w:r>
        <w:rPr>
          <w:rFonts w:hint="eastAsia" w:ascii="宋体" w:hAnsi="宋体" w:eastAsia="宋体" w:cs="Arial"/>
          <w:bCs/>
          <w:color w:val="auto"/>
          <w:highlight w:val="none"/>
          <w:lang w:val="en-US" w:eastAsia="zh-CN"/>
        </w:rPr>
        <w:t>6、经设计回复，空调移位暂按7台计入；</w:t>
      </w:r>
    </w:p>
    <w:p w14:paraId="578AEDC9">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384" w:lineRule="auto"/>
        <w:ind w:firstLine="420" w:firstLineChars="200"/>
        <w:textAlignment w:val="auto"/>
        <w:rPr>
          <w:rFonts w:hint="default" w:ascii="宋体" w:hAnsi="宋体" w:eastAsia="宋体" w:cs="Arial"/>
          <w:bCs/>
          <w:color w:val="auto"/>
          <w:highlight w:val="none"/>
          <w:lang w:val="en-US" w:eastAsia="zh-CN"/>
        </w:rPr>
      </w:pPr>
      <w:r>
        <w:rPr>
          <w:rFonts w:hint="eastAsia" w:ascii="宋体" w:hAnsi="宋体" w:eastAsia="宋体" w:cs="Arial"/>
          <w:bCs/>
          <w:color w:val="auto"/>
          <w:highlight w:val="none"/>
          <w:lang w:val="en-US" w:eastAsia="zh-CN"/>
        </w:rPr>
        <w:t>7、经设计回复，水表井尺寸参图集05S502-43；</w:t>
      </w:r>
    </w:p>
    <w:p w14:paraId="2C318983">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384" w:lineRule="auto"/>
        <w:ind w:firstLine="420" w:firstLineChars="200"/>
        <w:textAlignment w:val="auto"/>
        <w:rPr>
          <w:rFonts w:hint="eastAsia" w:ascii="宋体" w:hAnsi="宋体" w:eastAsia="宋体" w:cs="Arial"/>
          <w:bCs/>
          <w:color w:val="auto"/>
          <w:highlight w:val="none"/>
          <w:lang w:val="en-US" w:eastAsia="zh-CN"/>
        </w:rPr>
      </w:pPr>
      <w:r>
        <w:rPr>
          <w:rFonts w:hint="eastAsia" w:ascii="宋体" w:hAnsi="宋体" w:eastAsia="宋体" w:cs="Arial"/>
          <w:bCs/>
          <w:color w:val="auto"/>
          <w:highlight w:val="none"/>
          <w:lang w:val="en-US" w:eastAsia="zh-CN"/>
        </w:rPr>
        <w:t>8、经设计回复，配电箱进线配管配线预留暂按50米计入，结算时按实调整；</w:t>
      </w:r>
    </w:p>
    <w:p w14:paraId="6CB25610">
      <w:pPr>
        <w:spacing w:line="360" w:lineRule="auto"/>
        <w:ind w:firstLine="420" w:firstLineChars="200"/>
        <w:jc w:val="left"/>
        <w:rPr>
          <w:rFonts w:hint="default" w:ascii="宋体" w:hAnsi="宋体" w:eastAsia="宋体" w:cs="宋体"/>
          <w:sz w:val="22"/>
          <w:szCs w:val="28"/>
          <w:lang w:val="en-US" w:eastAsia="zh-CN"/>
        </w:rPr>
      </w:pPr>
      <w:r>
        <w:rPr>
          <w:rFonts w:hint="eastAsia" w:ascii="宋体" w:hAnsi="宋体" w:eastAsia="宋体" w:cs="Arial"/>
          <w:bCs/>
          <w:color w:val="auto"/>
          <w:highlight w:val="none"/>
          <w:lang w:val="en-US" w:eastAsia="zh-CN"/>
        </w:rPr>
        <w:t>9、经设计回复，室外进线电缆预留暂按25米计入，结算时按实调整</w:t>
      </w:r>
      <w:r>
        <w:rPr>
          <w:rFonts w:hint="eastAsia" w:ascii="宋体" w:hAnsi="宋体" w:eastAsia="宋体" w:cs="宋体"/>
          <w:sz w:val="22"/>
          <w:szCs w:val="28"/>
          <w:lang w:val="en-US" w:eastAsia="zh-CN"/>
        </w:rPr>
        <w:t>。</w:t>
      </w:r>
      <w:bookmarkStart w:id="0" w:name="_GoBack"/>
      <w:bookmarkEnd w:id="0"/>
    </w:p>
    <w:p w14:paraId="28E81915">
      <w:pPr>
        <w:pStyle w:val="7"/>
        <w:keepNext w:val="0"/>
        <w:keepLines w:val="0"/>
        <w:widowControl/>
        <w:numPr>
          <w:ilvl w:val="0"/>
          <w:numId w:val="0"/>
        </w:numPr>
        <w:suppressLineNumbers w:val="0"/>
        <w:spacing w:before="0" w:beforeAutospacing="0" w:after="0" w:afterAutospacing="0"/>
        <w:ind w:leftChars="0" w:right="0" w:rightChars="0" w:firstLine="480" w:firstLineChars="200"/>
        <w:rPr>
          <w:rFonts w:hint="eastAsia" w:ascii="宋体" w:hAnsi="宋体" w:eastAsiaTheme="minorEastAsia" w:cstheme="minorBidi"/>
          <w:kern w:val="2"/>
          <w:sz w:val="24"/>
          <w:szCs w:val="24"/>
          <w:lang w:val="en-US" w:eastAsia="zh-CN" w:bidi="ar-SA"/>
        </w:rPr>
      </w:pPr>
    </w:p>
    <w:p w14:paraId="77EA4E39">
      <w:pPr>
        <w:keepNext w:val="0"/>
        <w:keepLines w:val="0"/>
        <w:pageBreakBefore w:val="0"/>
        <w:numPr>
          <w:ilvl w:val="0"/>
          <w:numId w:val="2"/>
        </w:numPr>
        <w:kinsoku/>
        <w:wordWrap/>
        <w:overflowPunct/>
        <w:topLinePunct w:val="0"/>
        <w:bidi w:val="0"/>
        <w:adjustRightInd w:val="0"/>
        <w:snapToGrid w:val="0"/>
        <w:spacing w:line="480" w:lineRule="auto"/>
        <w:textAlignment w:val="auto"/>
        <w:rPr>
          <w:rFonts w:hint="eastAsia" w:ascii="宋体" w:hAnsi="宋体"/>
          <w:sz w:val="24"/>
          <w:szCs w:val="24"/>
        </w:rPr>
      </w:pPr>
      <w:r>
        <w:rPr>
          <w:rFonts w:hint="eastAsia"/>
          <w:b/>
          <w:sz w:val="24"/>
        </w:rPr>
        <w:t>其他说明</w:t>
      </w:r>
    </w:p>
    <w:p w14:paraId="35C64591">
      <w:pPr>
        <w:bidi w:val="0"/>
        <w:ind w:firstLine="480" w:firstLineChars="200"/>
        <w:rPr>
          <w:rFonts w:hint="eastAsia"/>
        </w:rPr>
      </w:pPr>
      <w:r>
        <w:rPr>
          <w:rFonts w:hint="eastAsia" w:ascii="宋体" w:hAnsi="宋体"/>
          <w:sz w:val="24"/>
          <w:szCs w:val="24"/>
          <w:lang w:val="en-US" w:eastAsia="zh-CN"/>
        </w:rPr>
        <w:t>1.</w:t>
      </w:r>
      <w:r>
        <w:rPr>
          <w:rFonts w:hint="eastAsia" w:ascii="宋体" w:hAnsi="宋体"/>
          <w:sz w:val="24"/>
          <w:szCs w:val="24"/>
        </w:rPr>
        <w:t>投标人根据现场情况，综合考虑挖土时可能遇到的情况，考虑其风险，合理报价，涉及到的全部费用计入综合报价；</w:t>
      </w:r>
    </w:p>
    <w:p w14:paraId="403BA24E">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施工图中未注明施工方法的项目，请投标人按照自身施工经验及相应规范做法自行组价并列入综合单价内，综合单价今后不作调整；</w:t>
      </w:r>
    </w:p>
    <w:p w14:paraId="046A493C">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工程量清单中项目描述未尽事宜请各投标人结合施工图纸及施工规范要求自行组价并列入综合单价内，综合单价今后不作调整；</w:t>
      </w:r>
    </w:p>
    <w:p w14:paraId="6C8184E7">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投标人应根据工程量清单描述并仔细核对施工图要求以及现场踏勘后进行投标报价，投标人认为清单描述与施工图有出入影响报价时，务必在答疑截止前提出，中标后不能以工程量清单描述不全或与施工图有出入作为要求调整合同价款的理由；</w:t>
      </w:r>
    </w:p>
    <w:p w14:paraId="2D39C0F4">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投标单位应充分考虑本项目工期所需增加的人工、材料、机械的投入，考虑24小时连续施工的费用及办理夜间施工许可证、排污许可证的费用均计入报价，否则视作优惠；</w:t>
      </w:r>
    </w:p>
    <w:p w14:paraId="259D83D1">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施工中必要的项目但清单中未单列的需综合考虑在相应子目内；</w:t>
      </w:r>
    </w:p>
    <w:p w14:paraId="051E7401">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措施项目投标人可根据各自施工组织方案自行补充在其他措施费中，未填报的理解为已综合计入；</w:t>
      </w:r>
    </w:p>
    <w:p w14:paraId="16E5A2DA">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特、大型机械指本工程所用机械安拆费及进退场费，机械数量各投标人根据施工组织设计自行报价，今后不论进退场几次均不得调整；</w:t>
      </w:r>
    </w:p>
    <w:p w14:paraId="2AD8F8C2">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投标人应自行踏勘现场，充分了解现场情况，</w:t>
      </w:r>
      <w:r>
        <w:rPr>
          <w:rFonts w:hint="eastAsia" w:ascii="宋体" w:hAnsi="宋体"/>
          <w:sz w:val="24"/>
          <w:szCs w:val="24"/>
          <w:lang w:val="en-US" w:eastAsia="zh-CN"/>
        </w:rPr>
        <w:t>材料上山费用</w:t>
      </w:r>
      <w:r>
        <w:rPr>
          <w:rFonts w:hint="eastAsia" w:ascii="宋体" w:hAnsi="宋体"/>
          <w:sz w:val="24"/>
          <w:szCs w:val="24"/>
        </w:rPr>
        <w:t>自行考虑，费用计入综合单价，总价一次性包干，今后不作调整；</w:t>
      </w:r>
    </w:p>
    <w:p w14:paraId="1FC51B36">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本工程的清单项目报价要求各投标人根据施工图纸、项目特征内容及清单计量规则和清单计价指引综合报价，对于没有在清单中另列子目的内容，要求各投标单位根据施工规范要求在相应子目中综合考虑，中标后清单未列的实际需发生的相关费用视为已包含在施工方投标的相关细目当中，今后发生将得不到支付；</w:t>
      </w:r>
    </w:p>
    <w:p w14:paraId="5DD60E99">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投标人应充分考虑措施项目，其所需发生的费用由投标人自行测算并进入报价，今后不得调整，若今后工程实施中发生新的措施项目但投标文件未列入的项目，视作投标人在风险费或其它项目中已考虑，今后不得增加；</w:t>
      </w:r>
    </w:p>
    <w:p w14:paraId="692F81A3">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清单中自补项以“个”“项”为单位的，请参照施工图节点详图及投标人自行踏勘现场计算工程量自行报价；</w:t>
      </w:r>
    </w:p>
    <w:p w14:paraId="363F9B16">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投标人技术标文件中所列的施工组织技术措施，其费用均应包含在投标报价中，还应包括投标人为完成该工程所需交纳的地方或行业的其它有关费用；</w:t>
      </w:r>
    </w:p>
    <w:p w14:paraId="5ECCA785">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承包人为便利于施工而更改施工方案所增加的工程费用一概不予调整，属施工技术组织措施失误造成的费用及延误的费用及延误工期均由承包人承担；</w:t>
      </w:r>
    </w:p>
    <w:p w14:paraId="3B0B0EEA">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投标人应根据招标文件及现场实际踏勘情况，充分考虑各项施工措施费（施工技术措施和施工组织措施），费用计入总价中，措施项目费用为包干费用，不因工程量变更、设计调整、施工方案等调整而调整，未在总报价中体现或不完全未在总报价中体现或不完全体现的，视作优惠；</w:t>
      </w:r>
    </w:p>
    <w:p w14:paraId="1A0313E6">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由于本工程的施工场地特殊，材料、机械到达工地的二次运输、装卸、保管及安装等内容均由投标人负责，相关费用应包含在本次投标报价中；</w:t>
      </w:r>
    </w:p>
    <w:p w14:paraId="1391CC0D">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施工单位应做好施工期间的安全围护工作，按我区质监站安全文明施工要求做好围挡美化等工作，保证施工期间来往行人的安全，由此产生的费用由施工单位自行考虑报价若不报价作优惠处理，今后不作调整；</w:t>
      </w:r>
    </w:p>
    <w:p w14:paraId="0799FA47">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承包人在施工时应做好与周边关系道路文明安全、交通设施等围护工作（包括设置临时交通标志、标牌、标线等），满足交警等有关部门的管理要求，必须做到道路安全通畅，做好安全施工的宣传工作，确保工程顺利进行，涉及费用（含交警等相关部门协助维护等费用）由投标单位在措施项目清单计入，若不报价作优惠处理，今后不作调整。</w:t>
      </w:r>
    </w:p>
    <w:p w14:paraId="106D0088">
      <w:pPr>
        <w:keepNext w:val="0"/>
        <w:keepLines w:val="0"/>
        <w:pageBreakBefore w:val="0"/>
        <w:kinsoku/>
        <w:wordWrap/>
        <w:overflowPunct/>
        <w:topLinePunct w:val="0"/>
        <w:autoSpaceDE w:val="0"/>
        <w:autoSpaceDN w:val="0"/>
        <w:bidi w:val="0"/>
        <w:spacing w:line="456" w:lineRule="auto"/>
        <w:ind w:firstLine="360" w:firstLineChars="150"/>
        <w:textAlignment w:val="auto"/>
        <w:rPr>
          <w:rFonts w:hint="eastAsia" w:asciiTheme="minorEastAsia" w:hAnsiTheme="minorEastAsia" w:cstheme="minorEastAsia"/>
          <w:sz w:val="24"/>
          <w:szCs w:val="24"/>
          <w:lang w:eastAsia="zh-CN"/>
        </w:rPr>
      </w:pPr>
    </w:p>
    <w:p w14:paraId="2FBABA29">
      <w:pPr>
        <w:snapToGrid w:val="0"/>
        <w:spacing w:line="600" w:lineRule="auto"/>
        <w:ind w:right="-25"/>
        <w:jc w:val="both"/>
        <w:rPr>
          <w:rFonts w:hint="eastAsia" w:ascii="宋体" w:hAnsi="宋体"/>
        </w:rPr>
      </w:pPr>
    </w:p>
    <w:p w14:paraId="3B012862">
      <w:pPr>
        <w:snapToGrid w:val="0"/>
        <w:spacing w:line="600" w:lineRule="auto"/>
        <w:ind w:right="-25" w:firstLine="4200" w:firstLineChars="2000"/>
        <w:jc w:val="right"/>
        <w:rPr>
          <w:rFonts w:ascii="宋体" w:hAnsi="宋体"/>
          <w:spacing w:val="20"/>
        </w:rPr>
      </w:pPr>
      <w:r>
        <w:rPr>
          <w:rFonts w:hint="eastAsia" w:ascii="宋体" w:hAnsi="宋体"/>
        </w:rPr>
        <w:t>浙江华域高宇项目管理有限公司</w:t>
      </w:r>
    </w:p>
    <w:p w14:paraId="260EF479">
      <w:pPr>
        <w:snapToGrid w:val="0"/>
        <w:spacing w:line="600" w:lineRule="auto"/>
        <w:ind w:right="-25"/>
        <w:jc w:val="right"/>
        <w:rPr>
          <w:rFonts w:ascii="楷体_GB2312" w:eastAsia="楷体_GB2312"/>
          <w:b/>
          <w:bCs/>
          <w:sz w:val="28"/>
          <w:szCs w:val="28"/>
        </w:rPr>
      </w:pPr>
      <w:r>
        <w:rPr>
          <w:rFonts w:hint="eastAsia" w:ascii="宋体"/>
          <w:spacing w:val="20"/>
        </w:rPr>
        <w:t xml:space="preserve">                       </w:t>
      </w:r>
      <w:r>
        <w:t xml:space="preserve">         </w:t>
      </w:r>
      <w:r>
        <w:rPr>
          <w:rFonts w:hint="eastAsia" w:ascii="宋体" w:hAnsi="宋体"/>
          <w:lang w:eastAsia="zh-CN"/>
        </w:rPr>
        <w:t>二○二</w:t>
      </w:r>
      <w:r>
        <w:rPr>
          <w:rFonts w:hint="eastAsia" w:ascii="宋体" w:hAnsi="宋体"/>
          <w:lang w:val="en-US" w:eastAsia="zh-CN"/>
        </w:rPr>
        <w:t>五</w:t>
      </w:r>
      <w:r>
        <w:rPr>
          <w:rFonts w:hint="eastAsia" w:ascii="宋体" w:hAnsi="宋体"/>
          <w:lang w:eastAsia="zh-CN"/>
        </w:rPr>
        <w:t>年</w:t>
      </w:r>
      <w:r>
        <w:rPr>
          <w:rFonts w:hint="eastAsia" w:ascii="宋体" w:hAnsi="宋体"/>
          <w:lang w:val="en-US" w:eastAsia="zh-CN"/>
        </w:rPr>
        <w:t>五</w:t>
      </w:r>
      <w:r>
        <w:rPr>
          <w:rFonts w:hint="eastAsia" w:ascii="宋体" w:hAnsi="宋体"/>
          <w:lang w:eastAsia="zh-CN"/>
        </w:rPr>
        <w:t>月</w:t>
      </w:r>
      <w:r>
        <w:rPr>
          <w:rFonts w:hint="eastAsia" w:ascii="宋体" w:hAnsi="宋体"/>
          <w:lang w:val="en-US" w:eastAsia="zh-CN"/>
        </w:rPr>
        <w:t>二十六</w:t>
      </w:r>
      <w:r>
        <w:rPr>
          <w:rFonts w:hint="eastAsia" w:ascii="宋体" w:hAnsi="宋体"/>
          <w:lang w:eastAsia="zh-CN"/>
        </w:rPr>
        <w:t>日</w:t>
      </w:r>
    </w:p>
    <w:p w14:paraId="0EDA07F8">
      <w:pPr>
        <w:adjustRightInd w:val="0"/>
        <w:snapToGrid w:val="0"/>
        <w:spacing w:line="360" w:lineRule="auto"/>
        <w:rPr>
          <w:rFonts w:hint="default" w:ascii="宋体" w:hAnsi="宋体" w:eastAsiaTheme="minorEastAsia"/>
          <w:spacing w:val="8"/>
          <w:sz w:val="24"/>
          <w:u w:val="single"/>
          <w:lang w:val="en-US" w:eastAsia="zh-CN"/>
        </w:rPr>
      </w:pPr>
      <w:r>
        <w:rPr>
          <w:rFonts w:hint="eastAsia" w:ascii="宋体" w:hAnsi="宋体"/>
          <w:spacing w:val="8"/>
          <w:sz w:val="24"/>
          <w:u w:val="single"/>
        </w:rPr>
        <w:t xml:space="preserve">主题词：   工程   清单    咨询     报告                              </w:t>
      </w:r>
      <w:r>
        <w:rPr>
          <w:rFonts w:hint="eastAsia" w:ascii="宋体" w:hAnsi="宋体"/>
          <w:spacing w:val="8"/>
          <w:sz w:val="24"/>
          <w:u w:val="single"/>
          <w:lang w:val="en-US" w:eastAsia="zh-CN"/>
        </w:rPr>
        <w:t xml:space="preserve">  </w:t>
      </w:r>
    </w:p>
    <w:p w14:paraId="2FFE150D">
      <w:pPr>
        <w:spacing w:line="360" w:lineRule="auto"/>
        <w:rPr>
          <w:rFonts w:hint="default" w:eastAsiaTheme="minorEastAsia"/>
          <w:lang w:val="en-US" w:eastAsia="zh-CN"/>
        </w:rPr>
      </w:pPr>
      <w:r>
        <w:rPr>
          <w:rFonts w:hint="eastAsia" w:ascii="宋体" w:hAnsi="宋体"/>
          <w:spacing w:val="8"/>
          <w:sz w:val="24"/>
          <w:u w:val="single"/>
        </w:rPr>
        <w:t xml:space="preserve"> 抄送                                                           </w:t>
      </w:r>
      <w:r>
        <w:rPr>
          <w:rFonts w:hint="eastAsia" w:ascii="宋体" w:hAnsi="宋体"/>
          <w:spacing w:val="8"/>
          <w:sz w:val="24"/>
          <w:u w:val="single"/>
          <w:lang w:val="en-US" w:eastAsia="zh-CN"/>
        </w:rPr>
        <w:t xml:space="preserve">      </w:t>
      </w:r>
    </w:p>
    <w:sectPr>
      <w:headerReference r:id="rId3" w:type="default"/>
      <w:footerReference r:id="rId4" w:type="default"/>
      <w:pgSz w:w="11906" w:h="16838"/>
      <w:pgMar w:top="1021" w:right="1058" w:bottom="737" w:left="1388"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5003A5">
    <w:pPr>
      <w:pStyle w:val="5"/>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77E5AD9B">
                <w:pPr>
                  <w:pStyle w:val="5"/>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5E69D7">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94E7DD"/>
    <w:multiLevelType w:val="singleLevel"/>
    <w:tmpl w:val="9194E7DD"/>
    <w:lvl w:ilvl="0" w:tentative="0">
      <w:start w:val="1"/>
      <w:numFmt w:val="decimal"/>
      <w:lvlText w:val="%1."/>
      <w:lvlJc w:val="left"/>
      <w:pPr>
        <w:tabs>
          <w:tab w:val="left" w:pos="312"/>
        </w:tabs>
      </w:pPr>
    </w:lvl>
  </w:abstractNum>
  <w:abstractNum w:abstractNumId="1">
    <w:nsid w:val="0000000D"/>
    <w:multiLevelType w:val="singleLevel"/>
    <w:tmpl w:val="0000000D"/>
    <w:lvl w:ilvl="0" w:tentative="0">
      <w:start w:val="2"/>
      <w:numFmt w:val="chineseCounting"/>
      <w:suff w:val="nothing"/>
      <w:lvlText w:val="%1、"/>
      <w:lvlJc w:val="left"/>
      <w:rPr>
        <w:rFonts w:hint="eastAsia"/>
        <w:b/>
        <w:bCs/>
      </w:rPr>
    </w:lvl>
  </w:abstractNum>
  <w:abstractNum w:abstractNumId="2">
    <w:nsid w:val="13EEB607"/>
    <w:multiLevelType w:val="singleLevel"/>
    <w:tmpl w:val="13EEB607"/>
    <w:lvl w:ilvl="0" w:tentative="0">
      <w:start w:val="1"/>
      <w:numFmt w:val="decimal"/>
      <w:suff w:val="nothing"/>
      <w:lvlText w:val="（%1）"/>
      <w:lvlJc w:val="left"/>
      <w:rPr>
        <w:rFonts w:hint="default"/>
        <w:b w:val="0"/>
        <w:bCs w:val="0"/>
      </w:rPr>
    </w:lvl>
  </w:abstractNum>
  <w:abstractNum w:abstractNumId="3">
    <w:nsid w:val="5AD901F7"/>
    <w:multiLevelType w:val="singleLevel"/>
    <w:tmpl w:val="5AD901F7"/>
    <w:lvl w:ilvl="0" w:tentative="0">
      <w:start w:val="1"/>
      <w:numFmt w:val="chineseCounting"/>
      <w:suff w:val="nothing"/>
      <w:lvlText w:val="%1、"/>
      <w:lvlJc w:val="left"/>
      <w:rPr>
        <w:rFonts w:hint="eastAsia"/>
      </w:rPr>
    </w:lvl>
  </w:abstractNum>
  <w:abstractNum w:abstractNumId="4">
    <w:nsid w:val="5F3D3C20"/>
    <w:multiLevelType w:val="singleLevel"/>
    <w:tmpl w:val="5F3D3C20"/>
    <w:lvl w:ilvl="0" w:tentative="0">
      <w:start w:val="2"/>
      <w:numFmt w:val="decimal"/>
      <w:suff w:val="nothing"/>
      <w:lvlText w:val="%1."/>
      <w:lvlJc w:val="left"/>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GUyOGUzM2E0MGE2NWM3MjY1Zjc4N2JiZDVjZjEyZDYifQ=="/>
  </w:docVars>
  <w:rsids>
    <w:rsidRoot w:val="00172A27"/>
    <w:rsid w:val="00013C07"/>
    <w:rsid w:val="000C4697"/>
    <w:rsid w:val="000E57A8"/>
    <w:rsid w:val="000F4CBA"/>
    <w:rsid w:val="00134D63"/>
    <w:rsid w:val="00172A27"/>
    <w:rsid w:val="00192FBA"/>
    <w:rsid w:val="0019302B"/>
    <w:rsid w:val="0028167B"/>
    <w:rsid w:val="00291CDA"/>
    <w:rsid w:val="00310E2E"/>
    <w:rsid w:val="00384534"/>
    <w:rsid w:val="00413DCA"/>
    <w:rsid w:val="00435B5E"/>
    <w:rsid w:val="004674FA"/>
    <w:rsid w:val="004A080B"/>
    <w:rsid w:val="004D7572"/>
    <w:rsid w:val="004F796A"/>
    <w:rsid w:val="005A2CC1"/>
    <w:rsid w:val="006207D2"/>
    <w:rsid w:val="006F2E0D"/>
    <w:rsid w:val="00723EA4"/>
    <w:rsid w:val="007D465C"/>
    <w:rsid w:val="008050C3"/>
    <w:rsid w:val="00836A15"/>
    <w:rsid w:val="008E5801"/>
    <w:rsid w:val="008F2434"/>
    <w:rsid w:val="008F2EB8"/>
    <w:rsid w:val="00A03F6A"/>
    <w:rsid w:val="00A36527"/>
    <w:rsid w:val="00B2068D"/>
    <w:rsid w:val="00CE6549"/>
    <w:rsid w:val="00D310F1"/>
    <w:rsid w:val="00D67C4B"/>
    <w:rsid w:val="00E057F2"/>
    <w:rsid w:val="00E16EE3"/>
    <w:rsid w:val="00E2191A"/>
    <w:rsid w:val="00F7219B"/>
    <w:rsid w:val="011350A0"/>
    <w:rsid w:val="011729EF"/>
    <w:rsid w:val="01367144"/>
    <w:rsid w:val="013F0980"/>
    <w:rsid w:val="01920BD3"/>
    <w:rsid w:val="019401BB"/>
    <w:rsid w:val="02042E4C"/>
    <w:rsid w:val="021D5B9E"/>
    <w:rsid w:val="02AE198A"/>
    <w:rsid w:val="02B64A33"/>
    <w:rsid w:val="031E19CA"/>
    <w:rsid w:val="03BE5F6D"/>
    <w:rsid w:val="03CA1241"/>
    <w:rsid w:val="03FD7BA3"/>
    <w:rsid w:val="040E2E03"/>
    <w:rsid w:val="04842E4F"/>
    <w:rsid w:val="048E76AD"/>
    <w:rsid w:val="057871B2"/>
    <w:rsid w:val="05805863"/>
    <w:rsid w:val="0583647E"/>
    <w:rsid w:val="05B00E06"/>
    <w:rsid w:val="05EF1018"/>
    <w:rsid w:val="0635436D"/>
    <w:rsid w:val="066F03EA"/>
    <w:rsid w:val="066F7877"/>
    <w:rsid w:val="06BF4F4F"/>
    <w:rsid w:val="06DF4225"/>
    <w:rsid w:val="07142FCA"/>
    <w:rsid w:val="07233C98"/>
    <w:rsid w:val="082B6C94"/>
    <w:rsid w:val="083616D6"/>
    <w:rsid w:val="08657A64"/>
    <w:rsid w:val="0902026A"/>
    <w:rsid w:val="0948360B"/>
    <w:rsid w:val="095652E5"/>
    <w:rsid w:val="09E578F8"/>
    <w:rsid w:val="0A12657A"/>
    <w:rsid w:val="0A2559CA"/>
    <w:rsid w:val="0A4C0F9F"/>
    <w:rsid w:val="0AA24865"/>
    <w:rsid w:val="0ADA5398"/>
    <w:rsid w:val="0B8E018B"/>
    <w:rsid w:val="0BC925AE"/>
    <w:rsid w:val="0BE850A4"/>
    <w:rsid w:val="0C084422"/>
    <w:rsid w:val="0C0D619C"/>
    <w:rsid w:val="0C472D30"/>
    <w:rsid w:val="0C6A27CB"/>
    <w:rsid w:val="0C7B2F55"/>
    <w:rsid w:val="0D55457A"/>
    <w:rsid w:val="0DEA1807"/>
    <w:rsid w:val="0E163E45"/>
    <w:rsid w:val="0E4E0E13"/>
    <w:rsid w:val="0F7D179F"/>
    <w:rsid w:val="0FA3404E"/>
    <w:rsid w:val="100045C4"/>
    <w:rsid w:val="1062352D"/>
    <w:rsid w:val="10EE6153"/>
    <w:rsid w:val="11016C3B"/>
    <w:rsid w:val="115E303B"/>
    <w:rsid w:val="11732A71"/>
    <w:rsid w:val="11B73790"/>
    <w:rsid w:val="11C9783E"/>
    <w:rsid w:val="11E22126"/>
    <w:rsid w:val="120F7208"/>
    <w:rsid w:val="12153373"/>
    <w:rsid w:val="12D41B07"/>
    <w:rsid w:val="131E731B"/>
    <w:rsid w:val="13495581"/>
    <w:rsid w:val="13B862C8"/>
    <w:rsid w:val="13F42668"/>
    <w:rsid w:val="14403B56"/>
    <w:rsid w:val="14FF6BB2"/>
    <w:rsid w:val="150A57D6"/>
    <w:rsid w:val="15380A77"/>
    <w:rsid w:val="15804B08"/>
    <w:rsid w:val="16A77A45"/>
    <w:rsid w:val="16C74738"/>
    <w:rsid w:val="16D02895"/>
    <w:rsid w:val="171E25D8"/>
    <w:rsid w:val="17203A4B"/>
    <w:rsid w:val="17515230"/>
    <w:rsid w:val="17A079C9"/>
    <w:rsid w:val="17A54FAE"/>
    <w:rsid w:val="17E655C6"/>
    <w:rsid w:val="1849343B"/>
    <w:rsid w:val="193D7890"/>
    <w:rsid w:val="19415099"/>
    <w:rsid w:val="1A5B2D35"/>
    <w:rsid w:val="1B115EDD"/>
    <w:rsid w:val="1B75381D"/>
    <w:rsid w:val="1BB53339"/>
    <w:rsid w:val="1BC21BBC"/>
    <w:rsid w:val="1C0479BB"/>
    <w:rsid w:val="1C165D6A"/>
    <w:rsid w:val="1C847B2A"/>
    <w:rsid w:val="1C8D6E53"/>
    <w:rsid w:val="1C8F138F"/>
    <w:rsid w:val="1CEC638A"/>
    <w:rsid w:val="1D436165"/>
    <w:rsid w:val="1D464DD0"/>
    <w:rsid w:val="1D692104"/>
    <w:rsid w:val="1E077056"/>
    <w:rsid w:val="1E5418FE"/>
    <w:rsid w:val="1E5B7A78"/>
    <w:rsid w:val="1E721428"/>
    <w:rsid w:val="1E8C41A0"/>
    <w:rsid w:val="1ECB5B95"/>
    <w:rsid w:val="1F1F0526"/>
    <w:rsid w:val="1F7257DF"/>
    <w:rsid w:val="1F892E2F"/>
    <w:rsid w:val="1F911F4C"/>
    <w:rsid w:val="1FB26948"/>
    <w:rsid w:val="1FDE0442"/>
    <w:rsid w:val="2099224C"/>
    <w:rsid w:val="20FA53E0"/>
    <w:rsid w:val="21680B1B"/>
    <w:rsid w:val="216E499C"/>
    <w:rsid w:val="21991B5F"/>
    <w:rsid w:val="21B1519E"/>
    <w:rsid w:val="21C401D3"/>
    <w:rsid w:val="21C452E6"/>
    <w:rsid w:val="21EE4C31"/>
    <w:rsid w:val="224603C6"/>
    <w:rsid w:val="226D0913"/>
    <w:rsid w:val="22C96F50"/>
    <w:rsid w:val="2328172D"/>
    <w:rsid w:val="23303783"/>
    <w:rsid w:val="235F003E"/>
    <w:rsid w:val="23A20020"/>
    <w:rsid w:val="23A76722"/>
    <w:rsid w:val="23D629AA"/>
    <w:rsid w:val="24157709"/>
    <w:rsid w:val="24416687"/>
    <w:rsid w:val="24AB7C44"/>
    <w:rsid w:val="24CE4930"/>
    <w:rsid w:val="255C186F"/>
    <w:rsid w:val="25C82CC9"/>
    <w:rsid w:val="25F31D2D"/>
    <w:rsid w:val="262155DA"/>
    <w:rsid w:val="263E765E"/>
    <w:rsid w:val="26433ACD"/>
    <w:rsid w:val="26455CB5"/>
    <w:rsid w:val="26AC05F2"/>
    <w:rsid w:val="27084E74"/>
    <w:rsid w:val="271070A9"/>
    <w:rsid w:val="27616A60"/>
    <w:rsid w:val="278C7F05"/>
    <w:rsid w:val="279508E6"/>
    <w:rsid w:val="27B062A4"/>
    <w:rsid w:val="27B14DA1"/>
    <w:rsid w:val="27D97E8C"/>
    <w:rsid w:val="27F353A3"/>
    <w:rsid w:val="28365B39"/>
    <w:rsid w:val="28B822C9"/>
    <w:rsid w:val="28CD43E2"/>
    <w:rsid w:val="28F64750"/>
    <w:rsid w:val="29076081"/>
    <w:rsid w:val="291D767B"/>
    <w:rsid w:val="293C6DC3"/>
    <w:rsid w:val="29B07C7B"/>
    <w:rsid w:val="2A2C1051"/>
    <w:rsid w:val="2A3D26BF"/>
    <w:rsid w:val="2AE62184"/>
    <w:rsid w:val="2B06660F"/>
    <w:rsid w:val="2B1F3293"/>
    <w:rsid w:val="2B34402E"/>
    <w:rsid w:val="2B4A2DDC"/>
    <w:rsid w:val="2B9F5155"/>
    <w:rsid w:val="2BBC2F82"/>
    <w:rsid w:val="2BD17692"/>
    <w:rsid w:val="2C2B2A02"/>
    <w:rsid w:val="2C53736E"/>
    <w:rsid w:val="2CD5740D"/>
    <w:rsid w:val="2D0C1123"/>
    <w:rsid w:val="2D1B5E99"/>
    <w:rsid w:val="2D3007C1"/>
    <w:rsid w:val="2D4615B7"/>
    <w:rsid w:val="2D6C7122"/>
    <w:rsid w:val="2E0D4BF5"/>
    <w:rsid w:val="2EAB0F65"/>
    <w:rsid w:val="2EBC1B45"/>
    <w:rsid w:val="2ECA74EB"/>
    <w:rsid w:val="2ECE5501"/>
    <w:rsid w:val="2F435705"/>
    <w:rsid w:val="2FA21B98"/>
    <w:rsid w:val="301B5FFC"/>
    <w:rsid w:val="30266177"/>
    <w:rsid w:val="30585BB3"/>
    <w:rsid w:val="30602AF9"/>
    <w:rsid w:val="30686A7C"/>
    <w:rsid w:val="30C3369B"/>
    <w:rsid w:val="31246497"/>
    <w:rsid w:val="314379F8"/>
    <w:rsid w:val="31781A41"/>
    <w:rsid w:val="31885CA0"/>
    <w:rsid w:val="319A5050"/>
    <w:rsid w:val="31B905E8"/>
    <w:rsid w:val="322F2925"/>
    <w:rsid w:val="32AB4662"/>
    <w:rsid w:val="33964F4F"/>
    <w:rsid w:val="33C13449"/>
    <w:rsid w:val="34180723"/>
    <w:rsid w:val="34213CF7"/>
    <w:rsid w:val="342F2B82"/>
    <w:rsid w:val="3439610C"/>
    <w:rsid w:val="34CB4FC4"/>
    <w:rsid w:val="34E539E0"/>
    <w:rsid w:val="35520144"/>
    <w:rsid w:val="35D06B76"/>
    <w:rsid w:val="35D769CC"/>
    <w:rsid w:val="35FE0D7D"/>
    <w:rsid w:val="36440CDD"/>
    <w:rsid w:val="36477361"/>
    <w:rsid w:val="365D0105"/>
    <w:rsid w:val="36761D59"/>
    <w:rsid w:val="37286A6F"/>
    <w:rsid w:val="3776278A"/>
    <w:rsid w:val="37AA57BF"/>
    <w:rsid w:val="37B25021"/>
    <w:rsid w:val="37C34F35"/>
    <w:rsid w:val="37FD6081"/>
    <w:rsid w:val="380268D0"/>
    <w:rsid w:val="38FC661C"/>
    <w:rsid w:val="3A6A3711"/>
    <w:rsid w:val="3A95060D"/>
    <w:rsid w:val="3B0934EB"/>
    <w:rsid w:val="3B337015"/>
    <w:rsid w:val="3B791C0A"/>
    <w:rsid w:val="3BC128C9"/>
    <w:rsid w:val="3BE61287"/>
    <w:rsid w:val="3BFB7D34"/>
    <w:rsid w:val="3C0559B5"/>
    <w:rsid w:val="3C214B78"/>
    <w:rsid w:val="3C4E6309"/>
    <w:rsid w:val="3CBC6F9C"/>
    <w:rsid w:val="3D4A12C1"/>
    <w:rsid w:val="3D6A72E2"/>
    <w:rsid w:val="3D9F1EE8"/>
    <w:rsid w:val="3DDE775E"/>
    <w:rsid w:val="3E324DE6"/>
    <w:rsid w:val="3E397688"/>
    <w:rsid w:val="3E5714C7"/>
    <w:rsid w:val="3E6C43BE"/>
    <w:rsid w:val="3E8248A0"/>
    <w:rsid w:val="3E850703"/>
    <w:rsid w:val="3EA5448B"/>
    <w:rsid w:val="3EA641E5"/>
    <w:rsid w:val="3EC6717F"/>
    <w:rsid w:val="3ED514D2"/>
    <w:rsid w:val="3ED53FCF"/>
    <w:rsid w:val="3F980ADB"/>
    <w:rsid w:val="40CA5F0F"/>
    <w:rsid w:val="40DB25C9"/>
    <w:rsid w:val="40F30AC5"/>
    <w:rsid w:val="41D44016"/>
    <w:rsid w:val="41D71E16"/>
    <w:rsid w:val="41E42AA6"/>
    <w:rsid w:val="42D73F6D"/>
    <w:rsid w:val="43481ABD"/>
    <w:rsid w:val="43500E75"/>
    <w:rsid w:val="441C63BD"/>
    <w:rsid w:val="442D6802"/>
    <w:rsid w:val="44325F0F"/>
    <w:rsid w:val="448F6524"/>
    <w:rsid w:val="449404B9"/>
    <w:rsid w:val="449B4F05"/>
    <w:rsid w:val="44A75CDA"/>
    <w:rsid w:val="45064961"/>
    <w:rsid w:val="4551719B"/>
    <w:rsid w:val="45882CD8"/>
    <w:rsid w:val="458E59C5"/>
    <w:rsid w:val="45A601BB"/>
    <w:rsid w:val="45D178AD"/>
    <w:rsid w:val="45E96380"/>
    <w:rsid w:val="45FD1350"/>
    <w:rsid w:val="4624278F"/>
    <w:rsid w:val="464E20F6"/>
    <w:rsid w:val="46B80A06"/>
    <w:rsid w:val="46B82CD5"/>
    <w:rsid w:val="46C620D6"/>
    <w:rsid w:val="4715255A"/>
    <w:rsid w:val="473C4E97"/>
    <w:rsid w:val="47677014"/>
    <w:rsid w:val="476F3624"/>
    <w:rsid w:val="479F3AC8"/>
    <w:rsid w:val="47AA70DF"/>
    <w:rsid w:val="48082683"/>
    <w:rsid w:val="484224F9"/>
    <w:rsid w:val="485479C6"/>
    <w:rsid w:val="485A7499"/>
    <w:rsid w:val="489E5C67"/>
    <w:rsid w:val="48A37A51"/>
    <w:rsid w:val="498C6732"/>
    <w:rsid w:val="49E42E97"/>
    <w:rsid w:val="4A1A4629"/>
    <w:rsid w:val="4A5C329C"/>
    <w:rsid w:val="4A637291"/>
    <w:rsid w:val="4A804407"/>
    <w:rsid w:val="4A8E3B3C"/>
    <w:rsid w:val="4A8E5F06"/>
    <w:rsid w:val="4AE76D25"/>
    <w:rsid w:val="4B100281"/>
    <w:rsid w:val="4B40233F"/>
    <w:rsid w:val="4B4A3CCA"/>
    <w:rsid w:val="4B4D68EB"/>
    <w:rsid w:val="4BB022DE"/>
    <w:rsid w:val="4BF63454"/>
    <w:rsid w:val="4C1E4A1E"/>
    <w:rsid w:val="4C401A62"/>
    <w:rsid w:val="4C5A6AC6"/>
    <w:rsid w:val="4C5F46B6"/>
    <w:rsid w:val="4C7A673D"/>
    <w:rsid w:val="4CEE6830"/>
    <w:rsid w:val="4D131D97"/>
    <w:rsid w:val="4D1516EA"/>
    <w:rsid w:val="4D2460B1"/>
    <w:rsid w:val="4D764E44"/>
    <w:rsid w:val="4D9236DC"/>
    <w:rsid w:val="4DD078CA"/>
    <w:rsid w:val="4E0C69EF"/>
    <w:rsid w:val="4E790575"/>
    <w:rsid w:val="4E7A0CA8"/>
    <w:rsid w:val="4EF32E25"/>
    <w:rsid w:val="4F030FD8"/>
    <w:rsid w:val="4F115861"/>
    <w:rsid w:val="4F741231"/>
    <w:rsid w:val="4F8D1AFF"/>
    <w:rsid w:val="503E0EF8"/>
    <w:rsid w:val="505E28E5"/>
    <w:rsid w:val="50816AD6"/>
    <w:rsid w:val="50B26D33"/>
    <w:rsid w:val="50B51024"/>
    <w:rsid w:val="50D47E2C"/>
    <w:rsid w:val="50D8307B"/>
    <w:rsid w:val="51052771"/>
    <w:rsid w:val="511F58DE"/>
    <w:rsid w:val="51653C35"/>
    <w:rsid w:val="517D79F3"/>
    <w:rsid w:val="51893BD4"/>
    <w:rsid w:val="518E585B"/>
    <w:rsid w:val="51985B68"/>
    <w:rsid w:val="51FD236B"/>
    <w:rsid w:val="525C2A8A"/>
    <w:rsid w:val="52C35DF5"/>
    <w:rsid w:val="52E42F2A"/>
    <w:rsid w:val="52F5483E"/>
    <w:rsid w:val="53603D1A"/>
    <w:rsid w:val="538B4860"/>
    <w:rsid w:val="538E266F"/>
    <w:rsid w:val="53A1438F"/>
    <w:rsid w:val="53B7173B"/>
    <w:rsid w:val="53D87ECE"/>
    <w:rsid w:val="54707AEE"/>
    <w:rsid w:val="54A416C6"/>
    <w:rsid w:val="54E414CC"/>
    <w:rsid w:val="55024DCC"/>
    <w:rsid w:val="550F4BEE"/>
    <w:rsid w:val="55C26FF4"/>
    <w:rsid w:val="55F53D16"/>
    <w:rsid w:val="562C450C"/>
    <w:rsid w:val="56346E41"/>
    <w:rsid w:val="56A87127"/>
    <w:rsid w:val="56C05A8C"/>
    <w:rsid w:val="5723299E"/>
    <w:rsid w:val="57347B11"/>
    <w:rsid w:val="57934250"/>
    <w:rsid w:val="57B429A3"/>
    <w:rsid w:val="58274365"/>
    <w:rsid w:val="58290217"/>
    <w:rsid w:val="582B7B15"/>
    <w:rsid w:val="585B67D2"/>
    <w:rsid w:val="58754840"/>
    <w:rsid w:val="58805A8D"/>
    <w:rsid w:val="588A0BA1"/>
    <w:rsid w:val="591F5B7F"/>
    <w:rsid w:val="5930017F"/>
    <w:rsid w:val="59941FB8"/>
    <w:rsid w:val="59E13BDA"/>
    <w:rsid w:val="59F57DD4"/>
    <w:rsid w:val="5A1838D6"/>
    <w:rsid w:val="5A5107B4"/>
    <w:rsid w:val="5C2C4844"/>
    <w:rsid w:val="5C2F515C"/>
    <w:rsid w:val="5C461BE1"/>
    <w:rsid w:val="5C560111"/>
    <w:rsid w:val="5C59056F"/>
    <w:rsid w:val="5CD2576B"/>
    <w:rsid w:val="5D8D7755"/>
    <w:rsid w:val="5DD05CC0"/>
    <w:rsid w:val="5DFC4889"/>
    <w:rsid w:val="5E2175D6"/>
    <w:rsid w:val="5E3B35D1"/>
    <w:rsid w:val="5E5143EA"/>
    <w:rsid w:val="5E667556"/>
    <w:rsid w:val="5E785C91"/>
    <w:rsid w:val="5E786C55"/>
    <w:rsid w:val="5EAB5A6F"/>
    <w:rsid w:val="5FB93D66"/>
    <w:rsid w:val="5FDB6720"/>
    <w:rsid w:val="5FED2516"/>
    <w:rsid w:val="600F26B6"/>
    <w:rsid w:val="60942C98"/>
    <w:rsid w:val="60D14388"/>
    <w:rsid w:val="614F4155"/>
    <w:rsid w:val="61883965"/>
    <w:rsid w:val="61A67AED"/>
    <w:rsid w:val="61EA2C17"/>
    <w:rsid w:val="62E646BD"/>
    <w:rsid w:val="62FA1220"/>
    <w:rsid w:val="631E4BE3"/>
    <w:rsid w:val="638549D9"/>
    <w:rsid w:val="641528D9"/>
    <w:rsid w:val="64E225C3"/>
    <w:rsid w:val="651E3725"/>
    <w:rsid w:val="654D07D5"/>
    <w:rsid w:val="6555058F"/>
    <w:rsid w:val="65854689"/>
    <w:rsid w:val="65F454F0"/>
    <w:rsid w:val="65FA6F71"/>
    <w:rsid w:val="661359D4"/>
    <w:rsid w:val="664D62FE"/>
    <w:rsid w:val="66520629"/>
    <w:rsid w:val="66750614"/>
    <w:rsid w:val="66971354"/>
    <w:rsid w:val="66B47E3D"/>
    <w:rsid w:val="66D86F23"/>
    <w:rsid w:val="66DF3ABA"/>
    <w:rsid w:val="6713496A"/>
    <w:rsid w:val="673502FA"/>
    <w:rsid w:val="6755575C"/>
    <w:rsid w:val="67D74EA8"/>
    <w:rsid w:val="67E54175"/>
    <w:rsid w:val="68147B6C"/>
    <w:rsid w:val="68503DDA"/>
    <w:rsid w:val="688460E6"/>
    <w:rsid w:val="688C079E"/>
    <w:rsid w:val="688E623B"/>
    <w:rsid w:val="68E305D7"/>
    <w:rsid w:val="68EB388A"/>
    <w:rsid w:val="6904283F"/>
    <w:rsid w:val="690D4D0F"/>
    <w:rsid w:val="696D37D8"/>
    <w:rsid w:val="697378B4"/>
    <w:rsid w:val="69807F21"/>
    <w:rsid w:val="69AD7389"/>
    <w:rsid w:val="69E0614E"/>
    <w:rsid w:val="6A693B86"/>
    <w:rsid w:val="6AD53C09"/>
    <w:rsid w:val="6AD62316"/>
    <w:rsid w:val="6AF66686"/>
    <w:rsid w:val="6B113DE7"/>
    <w:rsid w:val="6B8672FB"/>
    <w:rsid w:val="6BDD4DA8"/>
    <w:rsid w:val="6BE65440"/>
    <w:rsid w:val="6C2D3C1E"/>
    <w:rsid w:val="6C2E1346"/>
    <w:rsid w:val="6C3E72E6"/>
    <w:rsid w:val="6C4B047F"/>
    <w:rsid w:val="6CDB396C"/>
    <w:rsid w:val="6D700405"/>
    <w:rsid w:val="6DAE226D"/>
    <w:rsid w:val="6DBA1235"/>
    <w:rsid w:val="6DF20C0D"/>
    <w:rsid w:val="6DF87C4E"/>
    <w:rsid w:val="6E046516"/>
    <w:rsid w:val="6E82387F"/>
    <w:rsid w:val="6EE44F0E"/>
    <w:rsid w:val="6FA348D0"/>
    <w:rsid w:val="6FAA0460"/>
    <w:rsid w:val="6FB37870"/>
    <w:rsid w:val="6FDB12C7"/>
    <w:rsid w:val="6FE06889"/>
    <w:rsid w:val="70B01C23"/>
    <w:rsid w:val="716D63CB"/>
    <w:rsid w:val="7177768D"/>
    <w:rsid w:val="71A11B36"/>
    <w:rsid w:val="71C228CA"/>
    <w:rsid w:val="72A43AFF"/>
    <w:rsid w:val="730A2C92"/>
    <w:rsid w:val="73903E2F"/>
    <w:rsid w:val="73D87E68"/>
    <w:rsid w:val="74811F74"/>
    <w:rsid w:val="74EE377B"/>
    <w:rsid w:val="750D3497"/>
    <w:rsid w:val="755A4F17"/>
    <w:rsid w:val="758D1332"/>
    <w:rsid w:val="75F407CD"/>
    <w:rsid w:val="76283508"/>
    <w:rsid w:val="76315653"/>
    <w:rsid w:val="76385A7D"/>
    <w:rsid w:val="768658C9"/>
    <w:rsid w:val="76CF0517"/>
    <w:rsid w:val="770F0207"/>
    <w:rsid w:val="771F27D0"/>
    <w:rsid w:val="77C8117A"/>
    <w:rsid w:val="77D567FB"/>
    <w:rsid w:val="78483FF8"/>
    <w:rsid w:val="784B073A"/>
    <w:rsid w:val="787355C3"/>
    <w:rsid w:val="789470A7"/>
    <w:rsid w:val="78F8447F"/>
    <w:rsid w:val="79061DC4"/>
    <w:rsid w:val="79706FEE"/>
    <w:rsid w:val="79893F4D"/>
    <w:rsid w:val="79AF3093"/>
    <w:rsid w:val="79DC1FBD"/>
    <w:rsid w:val="7A2A762B"/>
    <w:rsid w:val="7AB0424E"/>
    <w:rsid w:val="7AB075B9"/>
    <w:rsid w:val="7AC35322"/>
    <w:rsid w:val="7BB467B0"/>
    <w:rsid w:val="7C6E5BB5"/>
    <w:rsid w:val="7D966D68"/>
    <w:rsid w:val="7E1008AF"/>
    <w:rsid w:val="7E2C4286"/>
    <w:rsid w:val="7E375C00"/>
    <w:rsid w:val="7E896A98"/>
    <w:rsid w:val="7EB2014B"/>
    <w:rsid w:val="7EC86408"/>
    <w:rsid w:val="7ECF60EE"/>
    <w:rsid w:val="7EE264B5"/>
    <w:rsid w:val="7F75108D"/>
    <w:rsid w:val="7F88657C"/>
    <w:rsid w:val="7FA20B10"/>
    <w:rsid w:val="7FAA1474"/>
    <w:rsid w:val="7FED7D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pPr>
      <w:spacing w:after="120"/>
    </w:pPr>
    <w:rPr>
      <w:szCs w:val="20"/>
    </w:rPr>
  </w:style>
  <w:style w:type="paragraph" w:styleId="3">
    <w:name w:val="Plain Text"/>
    <w:basedOn w:val="1"/>
    <w:autoRedefine/>
    <w:qFormat/>
    <w:uiPriority w:val="0"/>
    <w:rPr>
      <w:rFonts w:ascii="宋体" w:hAnsi="Courier New" w:cs="Courier New"/>
      <w:szCs w:val="21"/>
    </w:rPr>
  </w:style>
  <w:style w:type="paragraph" w:styleId="4">
    <w:name w:val="Balloon Text"/>
    <w:basedOn w:val="1"/>
    <w:link w:val="11"/>
    <w:autoRedefine/>
    <w:qFormat/>
    <w:uiPriority w:val="0"/>
    <w:rPr>
      <w:sz w:val="18"/>
      <w:szCs w:val="18"/>
    </w:rPr>
  </w:style>
  <w:style w:type="paragraph" w:styleId="5">
    <w:name w:val="footer"/>
    <w:basedOn w:val="1"/>
    <w:link w:val="10"/>
    <w:autoRedefine/>
    <w:qFormat/>
    <w:uiPriority w:val="0"/>
    <w:pPr>
      <w:tabs>
        <w:tab w:val="center" w:pos="4153"/>
        <w:tab w:val="right" w:pos="8306"/>
      </w:tabs>
      <w:snapToGrid w:val="0"/>
      <w:jc w:val="left"/>
    </w:pPr>
    <w:rPr>
      <w:sz w:val="18"/>
      <w:szCs w:val="18"/>
    </w:rPr>
  </w:style>
  <w:style w:type="paragraph" w:styleId="6">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spacing w:beforeAutospacing="1" w:afterAutospacing="1"/>
      <w:jc w:val="left"/>
    </w:pPr>
    <w:rPr>
      <w:rFonts w:cs="Times New Roman"/>
      <w:kern w:val="0"/>
      <w:sz w:val="24"/>
    </w:rPr>
  </w:style>
  <w:style w:type="character" w:customStyle="1" w:styleId="10">
    <w:name w:val="页脚 Char"/>
    <w:basedOn w:val="9"/>
    <w:link w:val="5"/>
    <w:autoRedefine/>
    <w:qFormat/>
    <w:uiPriority w:val="0"/>
    <w:rPr>
      <w:rFonts w:asciiTheme="minorHAnsi" w:hAnsiTheme="minorHAnsi" w:eastAsiaTheme="minorEastAsia" w:cstheme="minorBidi"/>
      <w:kern w:val="2"/>
      <w:sz w:val="18"/>
      <w:szCs w:val="18"/>
    </w:rPr>
  </w:style>
  <w:style w:type="character" w:customStyle="1" w:styleId="11">
    <w:name w:val="批注框文本 Char"/>
    <w:basedOn w:val="9"/>
    <w:link w:val="4"/>
    <w:autoRedefine/>
    <w:qFormat/>
    <w:uiPriority w:val="0"/>
    <w:rPr>
      <w:rFonts w:asciiTheme="minorHAnsi" w:hAnsiTheme="minorHAnsi" w:eastAsiaTheme="minorEastAsia" w:cstheme="minorBidi"/>
      <w:kern w:val="2"/>
      <w:sz w:val="18"/>
      <w:szCs w:val="18"/>
    </w:rPr>
  </w:style>
  <w:style w:type="paragraph" w:styleId="12">
    <w:name w:val="List Paragraph"/>
    <w:basedOn w:val="1"/>
    <w:autoRedefine/>
    <w:qFormat/>
    <w:uiPriority w:val="34"/>
    <w:pPr>
      <w:ind w:firstLine="420" w:firstLineChars="200"/>
    </w:pPr>
  </w:style>
  <w:style w:type="paragraph" w:styleId="13">
    <w:name w:val="No Spacing"/>
    <w:autoRedefine/>
    <w:qFormat/>
    <w:uiPriority w:val="1"/>
    <w:rPr>
      <w:rFonts w:ascii="Calibri" w:hAnsi="Calibri" w:eastAsia="宋体" w:cs="Times New Roman"/>
      <w:sz w:val="22"/>
      <w:szCs w:val="22"/>
      <w:lang w:val="en-US" w:eastAsia="zh-CN" w:bidi="ar-SA"/>
    </w:rPr>
  </w:style>
  <w:style w:type="character" w:customStyle="1" w:styleId="14">
    <w:name w:val="bulletintext"/>
    <w:basedOn w:val="9"/>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1026"/>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2771</Words>
  <Characters>2928</Characters>
  <Lines>31</Lines>
  <Paragraphs>8</Paragraphs>
  <TotalTime>0</TotalTime>
  <ScaleCrop>false</ScaleCrop>
  <LinksUpToDate>false</LinksUpToDate>
  <CharactersWithSpaces>3277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sexy</cp:lastModifiedBy>
  <cp:lastPrinted>2025-05-20T06:09:00Z</cp:lastPrinted>
  <dcterms:modified xsi:type="dcterms:W3CDTF">2025-06-24T10:26:32Z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03A29466E2D548E5829C1F806EA48AC4</vt:lpwstr>
  </property>
  <property fmtid="{D5CDD505-2E9C-101B-9397-08002B2CF9AE}" pid="4" name="KSOTemplateDocerSaveRecord">
    <vt:lpwstr>eyJoZGlkIjoiZGUyOGUzM2E0MGE2NWM3MjY1Zjc4N2JiZDVjZjEyZDYiLCJ1c2VySWQiOiIyOTEwMzM5NDAifQ==</vt:lpwstr>
  </property>
</Properties>
</file>